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BB7DF3" w14:textId="7FED3CEE" w:rsidR="00993AE9" w:rsidRDefault="00000000" w:rsidP="00074EBA">
      <w:pPr>
        <w:spacing w:after="300"/>
        <w:rPr>
          <w:b/>
          <w:bCs/>
          <w:color w:val="0F3D24"/>
          <w:sz w:val="32"/>
          <w:szCs w:val="32"/>
        </w:rPr>
      </w:pPr>
      <w:r>
        <w:rPr>
          <w:b/>
          <w:bCs/>
          <w:color w:val="0F3D24"/>
          <w:sz w:val="32"/>
          <w:szCs w:val="32"/>
        </w:rPr>
        <w:t>APPROFONDIMENTI</w:t>
      </w:r>
      <w:r w:rsidR="00993AE9">
        <w:rPr>
          <w:b/>
          <w:bCs/>
          <w:color w:val="0F3D24"/>
          <w:sz w:val="32"/>
          <w:szCs w:val="32"/>
        </w:rPr>
        <w:t xml:space="preserve"> al </w:t>
      </w:r>
      <w:r>
        <w:rPr>
          <w:b/>
          <w:bCs/>
          <w:color w:val="0F3D24"/>
          <w:sz w:val="32"/>
          <w:szCs w:val="32"/>
        </w:rPr>
        <w:t xml:space="preserve">Comunicato stampa. </w:t>
      </w:r>
      <w:r w:rsidR="00993AE9">
        <w:rPr>
          <w:b/>
          <w:bCs/>
          <w:color w:val="0F3D24"/>
          <w:sz w:val="32"/>
          <w:szCs w:val="32"/>
        </w:rPr>
        <w:t>15.07.2026</w:t>
      </w:r>
    </w:p>
    <w:p w14:paraId="7F322122" w14:textId="4DE8E0C5" w:rsidR="00993AE9" w:rsidRDefault="00000000" w:rsidP="00074EBA">
      <w:pPr>
        <w:spacing w:after="300"/>
        <w:rPr>
          <w:b/>
          <w:bCs/>
          <w:color w:val="0F3D24"/>
          <w:sz w:val="32"/>
          <w:szCs w:val="32"/>
        </w:rPr>
      </w:pPr>
      <w:r>
        <w:rPr>
          <w:b/>
          <w:bCs/>
          <w:color w:val="0F3D24"/>
          <w:sz w:val="32"/>
          <w:szCs w:val="32"/>
        </w:rPr>
        <w:t xml:space="preserve"> </w:t>
      </w:r>
      <w:r w:rsidR="00993AE9">
        <w:rPr>
          <w:b/>
          <w:bCs/>
          <w:color w:val="0F3D24"/>
          <w:sz w:val="32"/>
          <w:szCs w:val="32"/>
        </w:rPr>
        <w:t>Federazione Nazionale Pro Natura, Green Impact, Attivisti Gruppo Randagio.</w:t>
      </w:r>
    </w:p>
    <w:p w14:paraId="355B08FC" w14:textId="56D33200" w:rsidR="00074EBA" w:rsidRPr="00B96391" w:rsidRDefault="00000000" w:rsidP="00074EBA">
      <w:pPr>
        <w:spacing w:after="300"/>
        <w:rPr>
          <w:b/>
          <w:bCs/>
          <w:color w:val="0F3D24"/>
          <w:sz w:val="36"/>
          <w:szCs w:val="36"/>
        </w:rPr>
      </w:pPr>
      <w:r>
        <w:rPr>
          <w:b/>
          <w:bCs/>
          <w:color w:val="0F3D24"/>
          <w:sz w:val="36"/>
          <w:szCs w:val="36"/>
        </w:rPr>
        <w:t>DDL Caccia: un regalo “contro natura” fatto a meno dell’1% degli italiani</w:t>
      </w:r>
    </w:p>
    <w:p w14:paraId="200B8B19" w14:textId="007470EF" w:rsidR="00170C0C" w:rsidRDefault="00170C0C" w:rsidP="002B5E03">
      <w:pPr>
        <w:spacing w:before="200" w:after="300"/>
        <w:rPr>
          <w:b/>
          <w:bCs/>
          <w:color w:val="0F3D24"/>
          <w:sz w:val="32"/>
          <w:szCs w:val="32"/>
        </w:rPr>
      </w:pPr>
    </w:p>
    <w:p w14:paraId="75E40F4D" w14:textId="77777777" w:rsidR="00170C0C" w:rsidRDefault="00000000">
      <w:pPr>
        <w:spacing w:after="300"/>
        <w:rPr>
          <w:i/>
          <w:iCs/>
          <w:color w:val="555555"/>
        </w:rPr>
      </w:pPr>
      <w:r>
        <w:rPr>
          <w:i/>
          <w:iCs/>
          <w:color w:val="555555"/>
        </w:rPr>
        <w:t>Dati, fonti e materiali scientifici a supporto del comunicato, tratti dalla nota tecnico-scientifica completa.</w:t>
      </w:r>
    </w:p>
    <w:p w14:paraId="492BF947" w14:textId="77777777" w:rsidR="00170C0C" w:rsidRDefault="00000000">
      <w:pPr>
        <w:spacing w:before="200" w:after="150"/>
        <w:jc w:val="both"/>
      </w:pPr>
      <w:r>
        <w:rPr>
          <w:b/>
          <w:bCs/>
          <w:color w:val="1B5E20"/>
          <w:sz w:val="24"/>
          <w:szCs w:val="24"/>
        </w:rPr>
        <w:t>Il paradosso del cinghiale: l’abbattimento non riduce, fa crescere la popolazione (Prof. Andrea Mazzatenta)</w:t>
      </w:r>
    </w:p>
    <w:p w14:paraId="3706FFD2" w14:textId="77777777" w:rsidR="00170C0C" w:rsidRDefault="00000000">
      <w:pPr>
        <w:spacing w:after="200"/>
        <w:jc w:val="both"/>
      </w:pPr>
      <w:r>
        <w:t>Il Prof. Andrea Mazzatenta (Università “d’Annunzio” di Chieti-Pescara), sulla base dell’analisi di oltre un secolo di dati istituzionali sul cinghiale — pubblicata in Mazzatenta, A. (2026), “Wild Boar Management and Environmental Degradation: A Matter of Ecophysiology—The Italian Case”, Conservation, 6(1), 9 — documenta un apparente paradosso: all’intensificarsi dei prelievi venatori e degli abbattimenti di selezione e controllo non corrisponde una riduzione della popolazione di cinghiali, ma una sua ulteriore crescita.</w:t>
      </w:r>
    </w:p>
    <w:p w14:paraId="2290EBC4" w14:textId="77777777" w:rsidR="00170C0C" w:rsidRDefault="00000000">
      <w:pPr>
        <w:spacing w:after="200"/>
        <w:jc w:val="both"/>
      </w:pPr>
      <w:r>
        <w:t>La spiegazione, secondo Mazzatenta, è eco-fisiologica: l’abbattimento elimina prioritariamente le femmine “matriarche” e i maschi dominanti, gli individui che regolano la riproduzione del gruppo attraverso meccanismi comportamentali e di comunicazione chimico-feromonale. La loro perdita anticipa la maturità sessuale dei giovani di entrambi i sessi, aumenta il potenziale riproduttivo della popolazione e accelera il ricambio generazionale, spostando la specie da una strategia demografica di tipo K — crescita stabile, regolata dalla capacità portante dell’ambiente — a una strategia di tipo r, caratterizzata da rapida espansione numerica ed elevata capacità colonizzatrice. Per Mazzatenta si tratta di una vera alterazione dell’omeostasi della specie, destinata a propagarsi all’intero ecosistema: il danno ambientale, precisa, non coincide solo con la perdita di habitat o biodiversità, ma comprende la compromissione dei meccanismi fisiologici, comportamentali ed ecologici che mantengono l’equilibrio delle popolazioni naturali.</w:t>
      </w:r>
    </w:p>
    <w:p w14:paraId="2CB174D4" w14:textId="77777777" w:rsidR="00170C0C" w:rsidRDefault="00000000">
      <w:pPr>
        <w:spacing w:before="200" w:after="150"/>
        <w:jc w:val="both"/>
      </w:pPr>
      <w:r>
        <w:rPr>
          <w:b/>
          <w:bCs/>
          <w:color w:val="1B5E20"/>
          <w:sz w:val="24"/>
          <w:szCs w:val="24"/>
        </w:rPr>
        <w:t>Il lupo è il vero bioregolatore (Prof. Ettore Randi)</w:t>
      </w:r>
    </w:p>
    <w:p w14:paraId="2EDBAC74" w14:textId="77777777" w:rsidR="00170C0C" w:rsidRDefault="00000000">
      <w:pPr>
        <w:spacing w:after="200"/>
        <w:jc w:val="both"/>
      </w:pPr>
      <w:r>
        <w:t>Per il Prof. Ettore Randi (Ecology and Evolution Researcher, Università di Aalborg), il classico bioregolatore naturale delle popolazioni di ungulati selvatici — cinghiali, caprioli, cervi, daini — oltre che di altri carnivori, piccola selvaggina e specie aliene invasive, è il lupo. A differenza del cacciatore, il lupo preda selettivamente gli individui più giovani, anziani o debilitati, riducendone la densità e modificandone la struttura demografica (Mattioli et al., 2004; Meriggi et al., 2011); la sola presenza del predatore altera inoltre il comportamento di foraggiamento delle prede, con effetti a cascata sulla rigenerazione della vegetazione (Laundré, Hernández &amp; Altendorf, 2001; Kuijper et al., 2013).</w:t>
      </w:r>
    </w:p>
    <w:p w14:paraId="3C73A3E6" w14:textId="77777777" w:rsidR="00170C0C" w:rsidRDefault="00000000">
      <w:pPr>
        <w:spacing w:after="200"/>
        <w:jc w:val="both"/>
      </w:pPr>
      <w:r>
        <w:t xml:space="preserve">Randi richiama il caso di studio più documentato al mondo: la reintroduzione del lupo nel Parco Nazionale di Yellowstone (1995-1996), che ha permesso di osservare la ripresa della rigenerazione di pioppi e salici lungo i corsi d’acqua ed effetti a cascata sulla popolazione di castori e sulla morfologia fluviale (Ripple &amp; Beschta, 2012; Beschta &amp; Ripple, 2006) — pur segnalando che la trasposizione di questi risultati al contesto europeo, più antropizzato e frammentato, richiede cautela metodologica (Kuijper et al., 2016; Gerber et al., 2024). In Italia, gli studi sulla dieta del lupo in Appennino e sulle Alpi occidentali confermano una netta prevalenza di ungulati selvatici: un’analisi genetica su 1.457 escrementi raccolti in Liguria tra il 2008 e il 2013 ha rilevato il 64,4% di ungulati selvatici contro il 26,3% di bestiame domestico, con uno spostamento storico della dieta verso le prede selvatiche parallelo alla crescita delle loro popolazioni. Randi segnala infine un possibile ruolo </w:t>
      </w:r>
      <w:r>
        <w:lastRenderedPageBreak/>
        <w:t>sanitario: rimuovendo rapidamente le carcasse dei cinghiali malati, il lupo potrebbe contribuire a ridurre la circolazione ambientale del virus della Peste Suina Africana.</w:t>
      </w:r>
    </w:p>
    <w:p w14:paraId="3B638C84" w14:textId="77777777" w:rsidR="00170C0C" w:rsidRDefault="00000000">
      <w:pPr>
        <w:spacing w:before="200" w:after="150"/>
        <w:jc w:val="both"/>
      </w:pPr>
      <w:r>
        <w:rPr>
          <w:b/>
          <w:bCs/>
          <w:color w:val="1B5E20"/>
          <w:sz w:val="24"/>
          <w:szCs w:val="24"/>
        </w:rPr>
        <w:t>I numeri del prelievo e del bracconaggio in Italia</w:t>
      </w:r>
    </w:p>
    <w:p w14:paraId="7512753F" w14:textId="77777777" w:rsidR="00170C0C" w:rsidRDefault="00000000">
      <w:pPr>
        <w:spacing w:after="200"/>
        <w:jc w:val="both"/>
      </w:pPr>
      <w:r>
        <w:t>Questi dati si inseriscono in un quadro di crisi della biodiversità ormai conclamato a tutti i livelli. A livello globale, l’IPBES — la piattaforma intergovernativa dell’ONU su biodiversità ed ecosistemi — parla apertamente di sesta estinzione di massa: circa un milione di specie animali e vegetali, un quarto di quelle valutate, è oggi a rischio di estinzione, con un tasso da dieci a cento volte superiore alla media degli ultimi dieci milioni di anni, mentre la biomassa dei mammiferi selvatici si è già ridotta dell’82% (IPBES, Global Assessment Report on Biodiversity and Ecosystem Services, 2019). A livello europeo, l’ultimo rapporto dell’Agenzia Europea dell’Ambiente (EEA) sullo stato della natura certifica che l’81% degli habitat e il 63% delle specie protette dalla Direttiva Habitat si trovano in stato di conservazione sfavorevole: solo il 15% degli habitat e il 27% delle specie risultano in buono stato. In Italia, la Lista Rossa IUCN dei vertebrati terrestri e d’acqua dolce (Rondinini et al., 2022) classifica come minacciati il 20% dei mammiferi, il 26% degli uccelli nidificanti, il 38% degli anfibi, il 25% dei rettili e il 28% tra pesci ossei d’acqua dolce, pesci cartilaginei e agnati — con un peggioramento, rispetto alla precedente valutazione del 2013, del numero di specie rientranti nelle categorie di rischio più elevato.</w:t>
      </w:r>
    </w:p>
    <w:p w14:paraId="6028F529" w14:textId="77777777" w:rsidR="00170C0C" w:rsidRDefault="00000000">
      <w:pPr>
        <w:spacing w:after="200"/>
        <w:jc w:val="both"/>
      </w:pPr>
      <w:r>
        <w:t>È in questo contesto di crisi già conclamata che si inseriscono i numeri del prelievo venatorio e del bracconaggio in Italia. Sul solo cinghiale — l’unica specie per cui esiste una rilevazione nazionale strutturata — i dati ISPRA (indagine su base regionale, 2015-2021) documentano una media di circa 300.000 capi abbattuti ogni anno (257.000 in caccia ordinaria e 42.000 in interventi di controllo faunistico), con un incremento del 45% degli abbattimenti nel periodo osservato a fronte di danni all’agricoltura rimasti comunque tra i 14,6 e i 18,7 milioni di euro l’anno: la conferma empirica, su scala nazionale e con dati istituzionali, del paradosso descritto da Mazzatenta — più prelievo non significa meno danno.</w:t>
      </w:r>
    </w:p>
    <w:p w14:paraId="1E5208BA" w14:textId="77777777" w:rsidR="00170C0C" w:rsidRDefault="00000000">
      <w:pPr>
        <w:spacing w:after="200"/>
        <w:jc w:val="both"/>
      </w:pPr>
      <w:r>
        <w:t>A questo si somma il fenomeno, distinto ma collegato, del bracconaggio: secondo lo studio peer-reviewed di Brochet et al. (2016), pubblicato su Bird Conservation International, ogni anno nell’intero bacino del Mediterraneo vengono uccisi illegalmente tra gli 11 e i 36 milioni di uccelli, di cui 3-8 milioni in Italia — tra le stime più alte dell’intera regione insieme a Egitto e Siria. Il rapporto “The Killing 3.0” (BirdLife International – EuroNatur, maggio 2025) colloca l’Italia tra i Paesi che non hanno registrato alcun progresso verso l’obiettivo europeo di dimezzare l’uccisione illegale di uccelli entro il 2030. Il dato, per sua natura, è verosimilmente sottostimato: secondo Legambiente, la carenza di controlli sul territorio fa sì che solo una minima parte degli illeciti venga effettivamente accertata.</w:t>
      </w:r>
    </w:p>
    <w:p w14:paraId="4C259173" w14:textId="77777777" w:rsidR="00170C0C" w:rsidRDefault="00000000">
      <w:pPr>
        <w:spacing w:after="200"/>
        <w:jc w:val="both"/>
      </w:pPr>
      <w:r>
        <w:t>Il bilancio della caccia riguarda infine anche le persone: secondo lo studio indipendente dell’Università di Urbino — che analizza gli incidenti strettamente riconducibili alla pratica venatoria, escludendo malori, cadute, atti intenzionali e bracconaggio — nel 2024 si sono registrati 14 morti (8 causati da altri cacciatori, 5 da colpi partiti dalla propria arma e 1 da animali) e 34 feriti; nella sola stagione 2024-2025 gli incidenti complessivi sono stati 62, di cui 14 mortali. Un perimetro più ampio, che comprende anche l’ambito extravenatorio, è quello adottato dall’Associazione Vittime della Caccia, che per la stessa stagione riporta 21 morti e 37 feriti.</w:t>
      </w:r>
    </w:p>
    <w:p w14:paraId="5849C65D" w14:textId="77777777" w:rsidR="00170C0C" w:rsidRDefault="00000000">
      <w:pPr>
        <w:spacing w:before="200" w:after="150"/>
        <w:jc w:val="both"/>
      </w:pPr>
      <w:r>
        <w:rPr>
          <w:b/>
          <w:bCs/>
          <w:color w:val="1B5E20"/>
          <w:sz w:val="24"/>
          <w:szCs w:val="24"/>
        </w:rPr>
        <w:t>Una rete nazionale per i CRAS: il presidio dimenticato della fauna selvatica</w:t>
      </w:r>
    </w:p>
    <w:p w14:paraId="214BB29B" w14:textId="77777777" w:rsidR="00170C0C" w:rsidRDefault="00000000">
      <w:pPr>
        <w:spacing w:after="200"/>
        <w:jc w:val="both"/>
      </w:pPr>
      <w:r>
        <w:t>I Centri di Recupero Animali Selvatici (CRAS) rappresentano un presidio indipendente essenziale per il monitoraggio, la cura, la riabilitazione e il rilascio della fauna selvatica ferita o in difficoltà — spesso vittima diretta o indiretta di attività venatoria, bracconaggio, incidenti stradali e avvelenamenti. Si tratta però di una rete profondamente frammentata: non esiste una legge quadro né un sistema di finanziamento nazionale, ma una pluralità di normative regionali (L.R. 50/1993 del Veneto, L. 33/1997 della Sicilia, L.R. 64/1994 della Valle d’Aosta, tra le altre) che spesso delegano la gestione dei centri ad associazioni di volontariato, senza garanzie di continuità. L’ultimo censimento organico della rete risale al 2005 (Mariacher, Indagine sui Centri di Recupero per Animali Selvatici in Italia): l’assenza di un aggiornamento nazionale in vent’anni è di per sé un indicatore della scarsa priorità politica accordata al settore.</w:t>
      </w:r>
    </w:p>
    <w:p w14:paraId="700FAF76" w14:textId="77777777" w:rsidR="00170C0C" w:rsidRDefault="00000000">
      <w:pPr>
        <w:spacing w:after="200"/>
        <w:jc w:val="both"/>
      </w:pPr>
      <w:r>
        <w:lastRenderedPageBreak/>
        <w:t>La cronica carenza di risorse è documentata su tutto il territorio nazionale: il CRAS della LIPU di Bologna, attivo dal 1990, opera oggi senza alcun finanziamento pubblico, sostenuto solo da donazioni private; a Polesella (Rovigo), i volontari di WWF e LIPU hanno dovuto anticipare di tasca propria 3.500-4.000 euro l’anno per coprire le spese di un centro che è l’unico in Veneto operativo 365 giorni l’anno; in Sicilia, dove la legge regionale prevede un centro per ciascuna delle nove province, ne esistono solo tre — lasciando gran parte del territorio scoperto — con uno stanziamento di appena 70.000 euro l’anno per il periodo 2025-2028, giudicato dalle associazioni “del tutto insufficiente”. Lo stesso WWF segnala che la propria rete storica di centri, un tempo composta da 20-30 CRAS, si è ridotta nel tempo a meno di 15 per mancanza di risorse adeguate.</w:t>
      </w:r>
    </w:p>
    <w:p w14:paraId="24CB22D4" w14:textId="77777777" w:rsidR="00170C0C" w:rsidRDefault="00000000">
      <w:pPr>
        <w:spacing w:after="200"/>
        <w:jc w:val="both"/>
      </w:pPr>
      <w:r>
        <w:t>Eppure il carico di lavoro di queste strutture è tutt’altro che marginale: il solo Centro Recupero Fauna Selvatica della Provincia di Treviso ha soccorso 2.573 animali di 102 specie diverse nel 2025. Moltiplicato per le centinaia di centri attivi sul territorio nazionale, questo dato restituisce la dimensione reale — e in larga parte invisibile alle statistiche ufficiali — dell’impatto umano sulla fauna selvatica italiana. Green Impact, Federazione Pro Natura Italia e Attivisti Gruppo Randagio chiedono pertanto l’istituzione di una rete nazionale dei CRAS, coordinata e sostenuta da un finanziamento pubblico stabile e strutturale, equiparabile per dignità istituzionale al sostegno oggi garantito alle associazioni venatorie: un presidio di cura e monitoraggio della biodiversità non può continuare a dipendere dalla buona volontà dei volontari e dalle donazioni private.</w:t>
      </w:r>
    </w:p>
    <w:p w14:paraId="2003D44B" w14:textId="77777777" w:rsidR="00170C0C" w:rsidRDefault="00000000">
      <w:pPr>
        <w:pageBreakBefore/>
        <w:spacing w:after="150"/>
      </w:pPr>
      <w:r>
        <w:rPr>
          <w:b/>
          <w:bCs/>
          <w:color w:val="1B5E20"/>
        </w:rPr>
        <w:lastRenderedPageBreak/>
        <w:t>Bibliografia scientifica</w:t>
      </w:r>
    </w:p>
    <w:p w14:paraId="4DF3FA57" w14:textId="77777777" w:rsidR="00170C0C" w:rsidRDefault="00000000">
      <w:pPr>
        <w:spacing w:after="150"/>
        <w:jc w:val="both"/>
      </w:pPr>
      <w:r>
        <w:rPr>
          <w:i/>
          <w:iCs/>
          <w:sz w:val="18"/>
          <w:szCs w:val="18"/>
        </w:rPr>
        <w:t>(dalla nota tecnico-scientifica dei Prof. Randi e Mazzatenta, 10 luglio 2026)</w:t>
      </w:r>
    </w:p>
    <w:p w14:paraId="23D7C52E" w14:textId="77777777" w:rsidR="00170C0C" w:rsidRPr="00CD7598" w:rsidRDefault="00000000">
      <w:pPr>
        <w:spacing w:after="100"/>
        <w:jc w:val="both"/>
        <w:rPr>
          <w:lang w:val="en-US"/>
        </w:rPr>
      </w:pPr>
      <w:r>
        <w:rPr>
          <w:sz w:val="18"/>
          <w:szCs w:val="18"/>
        </w:rPr>
        <w:t xml:space="preserve">Ausilio, G., Sand, H., Månsson, J., Mathisen, K.M., Wikenros, C. (2021). </w:t>
      </w:r>
      <w:r>
        <w:rPr>
          <w:sz w:val="18"/>
          <w:szCs w:val="18"/>
          <w:lang w:val="en-US"/>
        </w:rPr>
        <w:t>Ecological effects of wolves in anthropogenic landscapes: the potential for trophic cascades is context-dependent. Frontiers in Ecology and Evolution, 8, 577963.</w:t>
      </w:r>
    </w:p>
    <w:p w14:paraId="27B44CEE" w14:textId="77777777" w:rsidR="00170C0C" w:rsidRPr="00CD7598" w:rsidRDefault="00000000">
      <w:pPr>
        <w:spacing w:after="100"/>
        <w:jc w:val="both"/>
        <w:rPr>
          <w:lang w:val="en-US"/>
        </w:rPr>
      </w:pPr>
      <w:r>
        <w:rPr>
          <w:sz w:val="18"/>
          <w:szCs w:val="18"/>
          <w:lang w:val="en-US"/>
        </w:rPr>
        <w:t>Beschta, R.L., Ripple, W.J. (2006). River channel dynamics following extirpation of wolves in northwestern Yellowstone National Park, USA. Earth Surface Processes and Landforms, 31(12), 1525-1539.</w:t>
      </w:r>
    </w:p>
    <w:p w14:paraId="4AF80A6C" w14:textId="77777777" w:rsidR="00170C0C" w:rsidRPr="00CD7598" w:rsidRDefault="00000000">
      <w:pPr>
        <w:spacing w:after="100"/>
        <w:jc w:val="both"/>
        <w:rPr>
          <w:lang w:val="en-US"/>
        </w:rPr>
      </w:pPr>
      <w:r>
        <w:rPr>
          <w:sz w:val="18"/>
          <w:szCs w:val="18"/>
          <w:lang w:val="en-US"/>
        </w:rPr>
        <w:t>Beschta, R.L., Ripple, W.J. (2009). Large predators and trophic cascades in terrestrial ecosystems of the western United States. Biological Conservation, 142(11), 2401-2414.</w:t>
      </w:r>
    </w:p>
    <w:p w14:paraId="28B4A169" w14:textId="77777777" w:rsidR="00170C0C" w:rsidRPr="00CD7598" w:rsidRDefault="00000000">
      <w:pPr>
        <w:spacing w:after="100"/>
        <w:jc w:val="both"/>
        <w:rPr>
          <w:lang w:val="en-US"/>
        </w:rPr>
      </w:pPr>
      <w:r>
        <w:rPr>
          <w:sz w:val="18"/>
          <w:szCs w:val="18"/>
          <w:lang w:val="en-US"/>
        </w:rPr>
        <w:t>Beschta, R.L., Ripple, W.J. (2013). Are wolves saving Yellowstone’s aspen? A landscape-level test of a behaviorally mediated trophic cascade: comment. Ecology, 94(6), 1420-1425.</w:t>
      </w:r>
    </w:p>
    <w:p w14:paraId="34A0FA42" w14:textId="77777777" w:rsidR="00170C0C" w:rsidRPr="00CD7598" w:rsidRDefault="00000000">
      <w:pPr>
        <w:spacing w:after="100"/>
        <w:jc w:val="both"/>
        <w:rPr>
          <w:lang w:val="fr-FR"/>
        </w:rPr>
      </w:pPr>
      <w:r>
        <w:rPr>
          <w:sz w:val="18"/>
          <w:szCs w:val="18"/>
          <w:lang w:val="en-US"/>
        </w:rPr>
        <w:t xml:space="preserve">Estes, J.A. et al. (2011). Trophic downgrading of planet Earth. </w:t>
      </w:r>
      <w:r>
        <w:rPr>
          <w:sz w:val="18"/>
          <w:szCs w:val="18"/>
          <w:lang w:val="fr-FR"/>
        </w:rPr>
        <w:t>Science, 333(6040), 301-306.</w:t>
      </w:r>
    </w:p>
    <w:p w14:paraId="1EAD89E6" w14:textId="77777777" w:rsidR="00170C0C" w:rsidRPr="00CD7598" w:rsidRDefault="00000000">
      <w:pPr>
        <w:spacing w:after="100"/>
        <w:jc w:val="both"/>
        <w:rPr>
          <w:lang w:val="en-US"/>
        </w:rPr>
      </w:pPr>
      <w:r>
        <w:rPr>
          <w:sz w:val="18"/>
          <w:szCs w:val="18"/>
          <w:lang w:val="fr-FR"/>
        </w:rPr>
        <w:t xml:space="preserve">Flagel, D.G., Belovsky, G.E., Beyer Jr, D.E. et al. </w:t>
      </w:r>
      <w:r>
        <w:rPr>
          <w:sz w:val="18"/>
          <w:szCs w:val="18"/>
          <w:lang w:val="en-US"/>
        </w:rPr>
        <w:t>(2020). Outsized effect of predation: wolves alter wetland creation and recolonization by killing ecosystem engineers. Science Advances, 6(43), eabc5439.</w:t>
      </w:r>
    </w:p>
    <w:p w14:paraId="029000D2" w14:textId="77777777" w:rsidR="00170C0C" w:rsidRPr="00CD7598" w:rsidRDefault="00000000">
      <w:pPr>
        <w:spacing w:after="100"/>
        <w:jc w:val="both"/>
        <w:rPr>
          <w:lang w:val="en-US"/>
        </w:rPr>
      </w:pPr>
      <w:r>
        <w:rPr>
          <w:sz w:val="18"/>
          <w:szCs w:val="18"/>
          <w:lang w:val="en-US"/>
        </w:rPr>
        <w:t>Gerber, N. et al. (2024). Do recolonising wolves trigger non-consumptive effects in European ecosystems? A review of evidence. Wildlife Biology.</w:t>
      </w:r>
    </w:p>
    <w:p w14:paraId="697C179B" w14:textId="77777777" w:rsidR="00170C0C" w:rsidRPr="00CD7598" w:rsidRDefault="00000000">
      <w:pPr>
        <w:spacing w:after="100"/>
        <w:jc w:val="both"/>
        <w:rPr>
          <w:lang w:val="en-US"/>
        </w:rPr>
      </w:pPr>
      <w:r>
        <w:rPr>
          <w:sz w:val="18"/>
          <w:szCs w:val="18"/>
          <w:lang w:val="en-US"/>
        </w:rPr>
        <w:t>Jones, C.G., Lawton, J.H., Shachak, M. (1994). Organisms as ecosystem engineers. Oikos, 69(3), 373-386.</w:t>
      </w:r>
    </w:p>
    <w:p w14:paraId="58A292AA" w14:textId="77777777" w:rsidR="00170C0C" w:rsidRPr="00CD7598" w:rsidRDefault="00000000">
      <w:pPr>
        <w:spacing w:after="100"/>
        <w:jc w:val="both"/>
        <w:rPr>
          <w:lang w:val="en-US"/>
        </w:rPr>
      </w:pPr>
      <w:r>
        <w:rPr>
          <w:sz w:val="18"/>
          <w:szCs w:val="18"/>
          <w:lang w:val="en-US"/>
        </w:rPr>
        <w:t>Kauffman, M.J., Brodie, J.F., Jules, E.S. (2010). Are wolves saving Yellowstone’s aspen? A landscape-level test of a behaviorally mediated trophic cascade. Ecology, 91(9), 2742-2755.</w:t>
      </w:r>
    </w:p>
    <w:p w14:paraId="6FE1702D" w14:textId="77777777" w:rsidR="00170C0C" w:rsidRPr="00CD7598" w:rsidRDefault="00000000">
      <w:pPr>
        <w:spacing w:after="100"/>
        <w:jc w:val="both"/>
        <w:rPr>
          <w:lang w:val="en-US"/>
        </w:rPr>
      </w:pPr>
      <w:r>
        <w:rPr>
          <w:sz w:val="18"/>
          <w:szCs w:val="18"/>
          <w:lang w:val="en-US"/>
        </w:rPr>
        <w:t>Kuijper, D.P.J., de Kleine, C., Churski, M., van Hooft, P., Bubnicki, J., Jędrzejewska, B. (2013). Landscape of fear in Europe: wolves affect spatial patterns of ungulate browsing in Białowieża Primeval Forest, Poland. Ecography, 36(12), 1263-1275.</w:t>
      </w:r>
    </w:p>
    <w:p w14:paraId="3699682F" w14:textId="77777777" w:rsidR="00170C0C" w:rsidRPr="00CD7598" w:rsidRDefault="00000000">
      <w:pPr>
        <w:spacing w:after="100"/>
        <w:jc w:val="both"/>
        <w:rPr>
          <w:lang w:val="en-US"/>
        </w:rPr>
      </w:pPr>
      <w:r>
        <w:rPr>
          <w:sz w:val="18"/>
          <w:szCs w:val="18"/>
          <w:lang w:val="en-US"/>
        </w:rPr>
        <w:t>Kuijper, D.P.J., Sahlén, E., Elmhagen, B., Chamaillé-Jammes, S., Sand, H., Lone, K., Cromsigt, J.P.G.M. (2016). Paws without claws? Ecological effects of large carnivores in anthropogenic landscapes. Proceedings of the Royal Society B, 283(1841), 20161625.</w:t>
      </w:r>
    </w:p>
    <w:p w14:paraId="363E940A" w14:textId="77777777" w:rsidR="00170C0C" w:rsidRPr="00CD7598" w:rsidRDefault="00000000">
      <w:pPr>
        <w:spacing w:after="100"/>
        <w:jc w:val="both"/>
        <w:rPr>
          <w:lang w:val="en-US"/>
        </w:rPr>
      </w:pPr>
      <w:r>
        <w:rPr>
          <w:sz w:val="18"/>
          <w:szCs w:val="18"/>
          <w:lang w:val="en-US"/>
        </w:rPr>
        <w:t>Laundré, J.W., Hernández, L., Altendorf, K.B. (2001). Wolves, elk, and bison: Reestablishing the ‘landscape of fear’ in Yellowstone National Park, U.S.A. Canadian Journal of Zoology, 79(8), 1401-1409.</w:t>
      </w:r>
    </w:p>
    <w:p w14:paraId="19C2099E" w14:textId="77777777" w:rsidR="00170C0C" w:rsidRDefault="00000000">
      <w:pPr>
        <w:spacing w:after="100"/>
        <w:jc w:val="both"/>
      </w:pPr>
      <w:r>
        <w:rPr>
          <w:sz w:val="18"/>
          <w:szCs w:val="18"/>
          <w:lang w:val="en-US"/>
        </w:rPr>
        <w:t xml:space="preserve">Levi, T., Wilmers, C.C. (2012). Wolves-coyotes-foxes: a cascade among carnivores. </w:t>
      </w:r>
      <w:r>
        <w:rPr>
          <w:sz w:val="18"/>
          <w:szCs w:val="18"/>
        </w:rPr>
        <w:t>Ecology, 93(4), 921-929.</w:t>
      </w:r>
    </w:p>
    <w:p w14:paraId="43F7BEE6" w14:textId="77777777" w:rsidR="00170C0C" w:rsidRPr="00CD7598" w:rsidRDefault="00000000">
      <w:pPr>
        <w:spacing w:after="100"/>
        <w:jc w:val="both"/>
        <w:rPr>
          <w:lang w:val="en-US"/>
        </w:rPr>
      </w:pPr>
      <w:r>
        <w:rPr>
          <w:sz w:val="18"/>
          <w:szCs w:val="18"/>
        </w:rPr>
        <w:t xml:space="preserve">Mattioli, L., Capitani, C., Avanzinelli, E., Bertelli, I., Gazzola, A., Apollonio, M. (2004). </w:t>
      </w:r>
      <w:r>
        <w:rPr>
          <w:sz w:val="18"/>
          <w:szCs w:val="18"/>
          <w:lang w:val="en-US"/>
        </w:rPr>
        <w:t>Predation by wolves (Canis lupus) on roe deer (Capreolus capreolus) in north-eastern Apennine, Italy. Journal of Zoology, 264(3), 249-258.</w:t>
      </w:r>
    </w:p>
    <w:p w14:paraId="126368DB" w14:textId="77777777" w:rsidR="00170C0C" w:rsidRDefault="00000000">
      <w:pPr>
        <w:spacing w:after="100"/>
        <w:jc w:val="both"/>
      </w:pPr>
      <w:r>
        <w:rPr>
          <w:sz w:val="18"/>
          <w:szCs w:val="18"/>
          <w:lang w:val="en-US"/>
        </w:rPr>
        <w:t xml:space="preserve">Mazzatenta, A. (2026). Wild Boar Management and Environmental Degradation: A Matter of Ecophysiology—The Italian Case. </w:t>
      </w:r>
      <w:r>
        <w:rPr>
          <w:sz w:val="18"/>
          <w:szCs w:val="18"/>
        </w:rPr>
        <w:t>Conservation, 6(1), 9. https://doi.org/10.3390/conservation6010009</w:t>
      </w:r>
    </w:p>
    <w:p w14:paraId="0ABA513C" w14:textId="77777777" w:rsidR="00170C0C" w:rsidRPr="00CD7598" w:rsidRDefault="00000000">
      <w:pPr>
        <w:spacing w:after="100"/>
        <w:jc w:val="both"/>
        <w:rPr>
          <w:lang w:val="en-US"/>
        </w:rPr>
      </w:pPr>
      <w:r>
        <w:rPr>
          <w:sz w:val="18"/>
          <w:szCs w:val="18"/>
        </w:rPr>
        <w:t xml:space="preserve">Meriggi, A., Brangi, A., Schenone, L., Signorelli, D., Milanesi, P. (2011). </w:t>
      </w:r>
      <w:r>
        <w:rPr>
          <w:sz w:val="18"/>
          <w:szCs w:val="18"/>
          <w:lang w:val="en-US"/>
        </w:rPr>
        <w:t>Changes of wolf (Canis lupus) diet in Italy in relation to the increase of wild ungulate abundance. Ethology Ecology &amp; Evolution, 23(3), 195-210.</w:t>
      </w:r>
    </w:p>
    <w:p w14:paraId="28CB1CB3" w14:textId="77777777" w:rsidR="00170C0C" w:rsidRPr="00CD7598" w:rsidRDefault="00000000">
      <w:pPr>
        <w:spacing w:after="100"/>
        <w:jc w:val="both"/>
        <w:rPr>
          <w:lang w:val="en-US"/>
        </w:rPr>
      </w:pPr>
      <w:r>
        <w:rPr>
          <w:sz w:val="18"/>
          <w:szCs w:val="18"/>
          <w:lang w:val="en-US"/>
        </w:rPr>
        <w:t>Newsome, T.M., Ripple, W.J. (2015). A continental scale trophic cascade from wolves through coyotes to foxes. Journal of Animal Ecology, 84(1), 49-59.</w:t>
      </w:r>
    </w:p>
    <w:p w14:paraId="1318D7D2" w14:textId="77777777" w:rsidR="00170C0C" w:rsidRPr="00CD7598" w:rsidRDefault="00000000">
      <w:pPr>
        <w:spacing w:after="100"/>
        <w:jc w:val="both"/>
        <w:rPr>
          <w:lang w:val="en-US"/>
        </w:rPr>
      </w:pPr>
      <w:r>
        <w:rPr>
          <w:sz w:val="18"/>
          <w:szCs w:val="18"/>
          <w:lang w:val="en-US"/>
        </w:rPr>
        <w:t>Paine, R.T. (1969). A note on trophic complexity and community stability. The American Naturalist, 103(929), 91-93.</w:t>
      </w:r>
    </w:p>
    <w:p w14:paraId="3B1C5022" w14:textId="77777777" w:rsidR="00170C0C" w:rsidRPr="00CD7598" w:rsidRDefault="00000000">
      <w:pPr>
        <w:spacing w:after="100"/>
        <w:jc w:val="both"/>
        <w:rPr>
          <w:lang w:val="en-US"/>
        </w:rPr>
      </w:pPr>
      <w:r>
        <w:rPr>
          <w:sz w:val="18"/>
          <w:szCs w:val="18"/>
          <w:lang w:val="en-US"/>
        </w:rPr>
        <w:t>Petroelje, T.R. et al. (2023). Wolves alter the trajectory of forests by shaping the central place foraging behaviour of an ecosystem engineer. Proceedings of the Royal Society B, 290(2010), 20231377.</w:t>
      </w:r>
    </w:p>
    <w:p w14:paraId="483AEEB6" w14:textId="77777777" w:rsidR="00170C0C" w:rsidRPr="00CD7598" w:rsidRDefault="00000000">
      <w:pPr>
        <w:spacing w:after="100"/>
        <w:jc w:val="both"/>
        <w:rPr>
          <w:lang w:val="en-US"/>
        </w:rPr>
      </w:pPr>
      <w:r>
        <w:rPr>
          <w:sz w:val="18"/>
          <w:szCs w:val="18"/>
          <w:lang w:val="en-US"/>
        </w:rPr>
        <w:t>Ripple, W.J., Beschta, R.L. (2012). Trophic cascades in Yellowstone: the first 15 years after wolf reintroduction. Biological Conservation, 145(1), 205-213.</w:t>
      </w:r>
    </w:p>
    <w:p w14:paraId="17E4851A" w14:textId="77777777" w:rsidR="00170C0C" w:rsidRDefault="00000000">
      <w:pPr>
        <w:spacing w:after="100"/>
        <w:jc w:val="both"/>
      </w:pPr>
      <w:r>
        <w:rPr>
          <w:sz w:val="18"/>
          <w:szCs w:val="18"/>
          <w:lang w:val="en-US"/>
        </w:rPr>
        <w:t xml:space="preserve">Ripple, W.J. et al. (2014). Status and ecological effects of the world’s largest carnivores. </w:t>
      </w:r>
      <w:r>
        <w:rPr>
          <w:sz w:val="18"/>
          <w:szCs w:val="18"/>
        </w:rPr>
        <w:t>Science, 343(6167), 1241484.</w:t>
      </w:r>
    </w:p>
    <w:p w14:paraId="34D2E6C6" w14:textId="77777777" w:rsidR="00170C0C" w:rsidRDefault="00000000">
      <w:pPr>
        <w:spacing w:before="250" w:after="150"/>
      </w:pPr>
      <w:r>
        <w:rPr>
          <w:b/>
          <w:bCs/>
          <w:color w:val="1B5E20"/>
        </w:rPr>
        <w:t>Fonti dei dati statistici e istituzionali citati</w:t>
      </w:r>
    </w:p>
    <w:p w14:paraId="19EC19D7" w14:textId="77777777" w:rsidR="00170C0C" w:rsidRDefault="00000000">
      <w:pPr>
        <w:spacing w:after="100"/>
        <w:jc w:val="both"/>
      </w:pPr>
      <w:r>
        <w:rPr>
          <w:sz w:val="18"/>
          <w:szCs w:val="18"/>
        </w:rPr>
        <w:t>IPBES (2019). Global Assessment Report on Biodiversity and Ecosystem Services. Intergovernmental Science-Policy Platform on Biodiversity and Ecosystem Services, Bonn (dati sulla sesta estinzione di massa e sul rischio di estinzione a livello globale).</w:t>
      </w:r>
    </w:p>
    <w:p w14:paraId="11A813C4" w14:textId="77777777" w:rsidR="00170C0C" w:rsidRDefault="00000000">
      <w:pPr>
        <w:spacing w:after="100"/>
        <w:jc w:val="both"/>
      </w:pPr>
      <w:r>
        <w:rPr>
          <w:sz w:val="18"/>
          <w:szCs w:val="18"/>
          <w:lang w:val="en-US"/>
        </w:rPr>
        <w:t xml:space="preserve">EEA – European Environment Agency (2020-2025). State of nature in the EU / State of nature in Europe: a health check. </w:t>
      </w:r>
      <w:r>
        <w:rPr>
          <w:sz w:val="18"/>
          <w:szCs w:val="18"/>
        </w:rPr>
        <w:t>Dati sulla conservazione di habitat e specie protetti dalla Direttiva Habitat e dalla Direttiva Uccelli.</w:t>
      </w:r>
    </w:p>
    <w:p w14:paraId="780B04B1" w14:textId="77777777" w:rsidR="00170C0C" w:rsidRDefault="00000000">
      <w:pPr>
        <w:spacing w:after="100"/>
        <w:jc w:val="both"/>
      </w:pPr>
      <w:r>
        <w:rPr>
          <w:sz w:val="18"/>
          <w:szCs w:val="18"/>
        </w:rPr>
        <w:t>Rondinini, C. et al. (2022). Lista Rossa IUCN dei vertebrati italiani terrestri e acquatici. Comitato Italiano IUCN, Ministero dell’Ambiente e della Sicurezza Energetica.</w:t>
      </w:r>
    </w:p>
    <w:p w14:paraId="59BFE6DF" w14:textId="77777777" w:rsidR="00170C0C" w:rsidRDefault="00000000">
      <w:pPr>
        <w:spacing w:after="100"/>
        <w:jc w:val="both"/>
      </w:pPr>
      <w:r>
        <w:rPr>
          <w:sz w:val="18"/>
          <w:szCs w:val="18"/>
        </w:rPr>
        <w:t xml:space="preserve">Brochet, A.-L. et al. </w:t>
      </w:r>
      <w:r>
        <w:rPr>
          <w:sz w:val="18"/>
          <w:szCs w:val="18"/>
          <w:lang w:val="en-US"/>
        </w:rPr>
        <w:t xml:space="preserve">(2016). Preliminary assessment of the scope and scale of illegal killing and taking of birds in the Mediterranean. </w:t>
      </w:r>
      <w:r>
        <w:rPr>
          <w:sz w:val="18"/>
          <w:szCs w:val="18"/>
        </w:rPr>
        <w:t>Bird Conservation International (dati sul bracconaggio di uccelli, Mediterraneo e Italia).</w:t>
      </w:r>
    </w:p>
    <w:p w14:paraId="3208DA7F" w14:textId="77777777" w:rsidR="00170C0C" w:rsidRDefault="00000000">
      <w:pPr>
        <w:spacing w:after="100"/>
        <w:jc w:val="both"/>
      </w:pPr>
      <w:r>
        <w:rPr>
          <w:sz w:val="18"/>
          <w:szCs w:val="18"/>
        </w:rPr>
        <w:t>BirdLife International – EuroNatur (2025). The Killing 3.0: progressi nella lotta contro l’uccisione illegale di uccelli nel Mediterraneo e in Europa.</w:t>
      </w:r>
    </w:p>
    <w:p w14:paraId="18B2F9AE" w14:textId="77777777" w:rsidR="00170C0C" w:rsidRDefault="00000000">
      <w:pPr>
        <w:spacing w:after="100"/>
        <w:jc w:val="both"/>
      </w:pPr>
      <w:r>
        <w:rPr>
          <w:sz w:val="18"/>
          <w:szCs w:val="18"/>
        </w:rPr>
        <w:lastRenderedPageBreak/>
        <w:t>ISPRA (2015-2021). Indagine nazionale sulla gestione del cinghiale in Italia, dati su abbattimenti in caccia ordinaria e controllo faunistico e danni all’agricoltura (dati ripresi da AGI, 13 gennaio 2023).</w:t>
      </w:r>
    </w:p>
    <w:p w14:paraId="25213CE3" w14:textId="77777777" w:rsidR="00170C0C" w:rsidRDefault="00000000">
      <w:pPr>
        <w:spacing w:after="100"/>
        <w:jc w:val="both"/>
      </w:pPr>
      <w:r>
        <w:rPr>
          <w:sz w:val="18"/>
          <w:szCs w:val="18"/>
        </w:rPr>
        <w:t>Università degli Studi di Urbino (2025). Relazione sulla rilevazione delle vittime dell’attività venatoria, stagione 2024-2025.</w:t>
      </w:r>
    </w:p>
    <w:p w14:paraId="07299E8B" w14:textId="77777777" w:rsidR="00170C0C" w:rsidRDefault="00000000">
      <w:pPr>
        <w:spacing w:after="100"/>
        <w:jc w:val="both"/>
      </w:pPr>
      <w:r>
        <w:rPr>
          <w:sz w:val="18"/>
          <w:szCs w:val="18"/>
        </w:rPr>
        <w:t>Associazione Vittime della Caccia – AVC (2025). Dossier vittime umane, stagione venatoria 2024-2025.</w:t>
      </w:r>
    </w:p>
    <w:p w14:paraId="62B3F84F" w14:textId="77777777" w:rsidR="00170C0C" w:rsidRDefault="00000000">
      <w:pPr>
        <w:spacing w:after="100"/>
        <w:jc w:val="both"/>
      </w:pPr>
      <w:r>
        <w:rPr>
          <w:sz w:val="18"/>
          <w:szCs w:val="18"/>
        </w:rPr>
        <w:t>Legambiente. Rapporto Zoomafia e stime sul tasso di accertamento degli illeciti contro la fauna selvatica.</w:t>
      </w:r>
    </w:p>
    <w:p w14:paraId="2D49E949" w14:textId="77777777" w:rsidR="00170C0C" w:rsidRDefault="00000000">
      <w:pPr>
        <w:spacing w:after="100"/>
        <w:jc w:val="both"/>
      </w:pPr>
      <w:r>
        <w:rPr>
          <w:sz w:val="18"/>
          <w:szCs w:val="18"/>
        </w:rPr>
        <w:t>ISTAT – Ministero dell’Interno – Ministero dell’Agricoltura – LAC (Lega Abolizione Caccia) – Corriere dell’Economia (2025). Serie storica e proiezioni sul numero di cacciatori in Italia.</w:t>
      </w:r>
    </w:p>
    <w:p w14:paraId="07874F4B" w14:textId="77777777" w:rsidR="00170C0C" w:rsidRDefault="00000000">
      <w:pPr>
        <w:spacing w:after="100"/>
        <w:jc w:val="both"/>
      </w:pPr>
      <w:r>
        <w:rPr>
          <w:sz w:val="18"/>
          <w:szCs w:val="18"/>
        </w:rPr>
        <w:t>Ipsos; Eurispes. Sondaggi sull’opinione pubblica italiana riguardo alla caccia e al DDL Caccia (AC n. 2984).</w:t>
      </w:r>
    </w:p>
    <w:p w14:paraId="6CF9A571" w14:textId="77777777" w:rsidR="00170C0C" w:rsidRDefault="00000000">
      <w:pPr>
        <w:spacing w:after="100"/>
        <w:jc w:val="both"/>
      </w:pPr>
      <w:r>
        <w:rPr>
          <w:sz w:val="18"/>
          <w:szCs w:val="18"/>
        </w:rPr>
        <w:t>L. 11 febbraio 1992, n. 157, art. 24; L. 197/2022, art. 1, comma 449; D.M. Agricoltura n. 517230/2022 (finanziamento pubblico alle associazioni venatorie).</w:t>
      </w:r>
    </w:p>
    <w:p w14:paraId="404CDEE8" w14:textId="77777777" w:rsidR="00170C0C" w:rsidRDefault="00000000">
      <w:pPr>
        <w:spacing w:after="100"/>
        <w:jc w:val="both"/>
      </w:pPr>
      <w:r>
        <w:rPr>
          <w:sz w:val="18"/>
          <w:szCs w:val="18"/>
        </w:rPr>
        <w:t>Mariacher, A. (2005). Indagine sui Centri di Recupero per Animali Selvatici in Italia. Dipartimento di Scienze Animali, Facoltà di Medicina Veterinaria (ultimo censimento organico della rete CRAS in Italia).</w:t>
      </w:r>
    </w:p>
    <w:p w14:paraId="601031B0" w14:textId="77777777" w:rsidR="00170C0C" w:rsidRDefault="00000000">
      <w:pPr>
        <w:spacing w:after="100"/>
        <w:jc w:val="both"/>
      </w:pPr>
      <w:r>
        <w:rPr>
          <w:sz w:val="18"/>
          <w:szCs w:val="18"/>
        </w:rPr>
        <w:t>WWF Italia (2003). Linee guida per una gestione organizzata e coordinata del sistema dei CRAS.</w:t>
      </w:r>
    </w:p>
    <w:p w14:paraId="684F0ABF" w14:textId="77777777" w:rsidR="00170C0C" w:rsidRDefault="00000000">
      <w:pPr>
        <w:spacing w:after="100"/>
        <w:jc w:val="both"/>
      </w:pPr>
      <w:r>
        <w:rPr>
          <w:sz w:val="18"/>
          <w:szCs w:val="18"/>
        </w:rPr>
        <w:t>WWF Italia (2025). Sicilia, pochi fondi per gli ospedali dedicati alla fauna (dati sui CRAS siciliani e relativo finanziamento regionale).</w:t>
      </w:r>
    </w:p>
    <w:p w14:paraId="3B5C2B1C" w14:textId="77777777" w:rsidR="00170C0C" w:rsidRDefault="00000000">
      <w:pPr>
        <w:spacing w:after="100"/>
        <w:jc w:val="both"/>
      </w:pPr>
      <w:r>
        <w:rPr>
          <w:sz w:val="18"/>
          <w:szCs w:val="18"/>
        </w:rPr>
        <w:t>La Voce di Rovigo (2019). “Salvate il Cras, è fondamentale anche per Venezia e Padova” (dati sul CRAS di Polesella, Veneto).</w:t>
      </w:r>
    </w:p>
    <w:p w14:paraId="59EEB653" w14:textId="77777777" w:rsidR="00170C0C" w:rsidRDefault="00000000">
      <w:pPr>
        <w:spacing w:after="100"/>
        <w:jc w:val="both"/>
      </w:pPr>
      <w:r>
        <w:rPr>
          <w:sz w:val="18"/>
          <w:szCs w:val="18"/>
        </w:rPr>
        <w:t>Provincia di Treviso (2026). Bilancio dell’attività del Centro Recupero Fauna Selvatica, anno 2025.</w:t>
      </w:r>
    </w:p>
    <w:sectPr w:rsidR="00170C0C">
      <w:headerReference w:type="default" r:id="rId8"/>
      <w:footerReference w:type="default" r:id="rId9"/>
      <w:pgSz w:w="11906" w:h="16838"/>
      <w:pgMar w:top="1000" w:right="1100" w:bottom="1000" w:left="11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225485" w14:textId="77777777" w:rsidR="00FB0940" w:rsidRDefault="00FB0940">
      <w:r>
        <w:separator/>
      </w:r>
    </w:p>
  </w:endnote>
  <w:endnote w:type="continuationSeparator" w:id="0">
    <w:p w14:paraId="794DB29C" w14:textId="77777777" w:rsidR="00FB0940" w:rsidRDefault="00FB09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B45F6" w14:textId="77777777" w:rsidR="00A522BE" w:rsidRDefault="00000000">
    <w:pPr>
      <w:pBdr>
        <w:top w:val="single" w:sz="8" w:space="6" w:color="1E5C3A"/>
      </w:pBdr>
      <w:jc w:val="center"/>
    </w:pPr>
    <w:r>
      <w:rPr>
        <w:color w:val="555555"/>
        <w:sz w:val="16"/>
        <w:szCs w:val="16"/>
      </w:rPr>
      <w:t>Green Impact ETS  ·  Ufficio Stampa  ·  [email]  ·  [telefono]  ·  www.[sito].org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83D570" w14:textId="77777777" w:rsidR="00FB0940" w:rsidRDefault="00FB0940">
      <w:r>
        <w:separator/>
      </w:r>
    </w:p>
  </w:footnote>
  <w:footnote w:type="continuationSeparator" w:id="0">
    <w:p w14:paraId="1F590168" w14:textId="77777777" w:rsidR="00FB0940" w:rsidRDefault="00FB09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CC7FF" w14:textId="77777777" w:rsidR="00A522BE" w:rsidRDefault="00B23726">
    <w:pPr>
      <w:pBdr>
        <w:bottom w:val="single" w:sz="12" w:space="6" w:color="1E5C3A"/>
      </w:pBdr>
      <w:spacing w:after="200"/>
    </w:pPr>
    <w:r>
      <w:rPr>
        <w:b/>
        <w:bCs/>
        <w:color w:val="0F3D24"/>
        <w:sz w:val="26"/>
        <w:szCs w:val="26"/>
      </w:rPr>
      <w:t xml:space="preserve"> </w:t>
    </w:r>
    <w:r>
      <w:rPr>
        <w:color w:val="555555"/>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D934FE2"/>
    <w:multiLevelType w:val="hybridMultilevel"/>
    <w:tmpl w:val="8C760088"/>
    <w:lvl w:ilvl="0" w:tplc="DF7AEE6C">
      <w:start w:val="1"/>
      <w:numFmt w:val="bullet"/>
      <w:lvlText w:val="●"/>
      <w:lvlJc w:val="left"/>
      <w:pPr>
        <w:ind w:left="720" w:hanging="360"/>
      </w:pPr>
    </w:lvl>
    <w:lvl w:ilvl="1" w:tplc="51A0DA52">
      <w:start w:val="1"/>
      <w:numFmt w:val="bullet"/>
      <w:lvlText w:val="○"/>
      <w:lvlJc w:val="left"/>
      <w:pPr>
        <w:ind w:left="1440" w:hanging="360"/>
      </w:pPr>
    </w:lvl>
    <w:lvl w:ilvl="2" w:tplc="FA482E64">
      <w:start w:val="1"/>
      <w:numFmt w:val="bullet"/>
      <w:lvlText w:val="■"/>
      <w:lvlJc w:val="left"/>
      <w:pPr>
        <w:ind w:left="2160" w:hanging="360"/>
      </w:pPr>
    </w:lvl>
    <w:lvl w:ilvl="3" w:tplc="15F01560">
      <w:start w:val="1"/>
      <w:numFmt w:val="bullet"/>
      <w:lvlText w:val="●"/>
      <w:lvlJc w:val="left"/>
      <w:pPr>
        <w:ind w:left="2880" w:hanging="360"/>
      </w:pPr>
    </w:lvl>
    <w:lvl w:ilvl="4" w:tplc="6750E22C">
      <w:start w:val="1"/>
      <w:numFmt w:val="bullet"/>
      <w:lvlText w:val="○"/>
      <w:lvlJc w:val="left"/>
      <w:pPr>
        <w:ind w:left="3600" w:hanging="360"/>
      </w:pPr>
    </w:lvl>
    <w:lvl w:ilvl="5" w:tplc="521C970A">
      <w:start w:val="1"/>
      <w:numFmt w:val="bullet"/>
      <w:lvlText w:val="■"/>
      <w:lvlJc w:val="left"/>
      <w:pPr>
        <w:ind w:left="4320" w:hanging="360"/>
      </w:pPr>
    </w:lvl>
    <w:lvl w:ilvl="6" w:tplc="D300622A">
      <w:start w:val="1"/>
      <w:numFmt w:val="bullet"/>
      <w:lvlText w:val="●"/>
      <w:lvlJc w:val="left"/>
      <w:pPr>
        <w:ind w:left="5040" w:hanging="360"/>
      </w:pPr>
    </w:lvl>
    <w:lvl w:ilvl="7" w:tplc="5CBC2D86">
      <w:start w:val="1"/>
      <w:numFmt w:val="bullet"/>
      <w:lvlText w:val="●"/>
      <w:lvlJc w:val="left"/>
      <w:pPr>
        <w:ind w:left="5760" w:hanging="360"/>
      </w:pPr>
    </w:lvl>
    <w:lvl w:ilvl="8" w:tplc="B49688E0">
      <w:start w:val="1"/>
      <w:numFmt w:val="bullet"/>
      <w:lvlText w:val="●"/>
      <w:lvlJc w:val="left"/>
      <w:pPr>
        <w:ind w:left="6480" w:hanging="360"/>
      </w:pPr>
    </w:lvl>
  </w:abstractNum>
  <w:num w:numId="1" w16cid:durableId="183009667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22BE"/>
    <w:rsid w:val="00074EBA"/>
    <w:rsid w:val="00170C0C"/>
    <w:rsid w:val="002B5E03"/>
    <w:rsid w:val="002E0B64"/>
    <w:rsid w:val="002F6EAA"/>
    <w:rsid w:val="00394D75"/>
    <w:rsid w:val="005A31A2"/>
    <w:rsid w:val="005C0115"/>
    <w:rsid w:val="006230B2"/>
    <w:rsid w:val="007452C1"/>
    <w:rsid w:val="00810B2F"/>
    <w:rsid w:val="0095535E"/>
    <w:rsid w:val="00993AE9"/>
    <w:rsid w:val="00A31EAA"/>
    <w:rsid w:val="00A522BE"/>
    <w:rsid w:val="00AA63DD"/>
    <w:rsid w:val="00B23726"/>
    <w:rsid w:val="00B96391"/>
    <w:rsid w:val="00CD7598"/>
    <w:rsid w:val="00CE1A70"/>
    <w:rsid w:val="00CE73AB"/>
    <w:rsid w:val="00DC4F70"/>
    <w:rsid w:val="00FA700C"/>
    <w:rsid w:val="00FB0940"/>
    <w:rsid w:val="00FD249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CB1FC"/>
  <w15:docId w15:val="{91F6362F-3590-4FF5-91B0-4BA22E213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74EBA"/>
  </w:style>
  <w:style w:type="paragraph" w:styleId="Titolo1">
    <w:name w:val="heading 1"/>
    <w:uiPriority w:val="9"/>
    <w:qFormat/>
    <w:pPr>
      <w:outlineLvl w:val="0"/>
    </w:pPr>
    <w:rPr>
      <w:color w:val="2E74B5"/>
      <w:sz w:val="32"/>
      <w:szCs w:val="32"/>
    </w:rPr>
  </w:style>
  <w:style w:type="paragraph" w:styleId="Titolo2">
    <w:name w:val="heading 2"/>
    <w:uiPriority w:val="9"/>
    <w:semiHidden/>
    <w:unhideWhenUsed/>
    <w:qFormat/>
    <w:pPr>
      <w:outlineLvl w:val="1"/>
    </w:pPr>
    <w:rPr>
      <w:color w:val="2E74B5"/>
      <w:sz w:val="26"/>
      <w:szCs w:val="26"/>
    </w:rPr>
  </w:style>
  <w:style w:type="paragraph" w:styleId="Titolo3">
    <w:name w:val="heading 3"/>
    <w:uiPriority w:val="9"/>
    <w:semiHidden/>
    <w:unhideWhenUsed/>
    <w:qFormat/>
    <w:pPr>
      <w:outlineLvl w:val="2"/>
    </w:pPr>
    <w:rPr>
      <w:color w:val="1F4D78"/>
      <w:sz w:val="24"/>
      <w:szCs w:val="24"/>
    </w:rPr>
  </w:style>
  <w:style w:type="paragraph" w:styleId="Titolo4">
    <w:name w:val="heading 4"/>
    <w:uiPriority w:val="9"/>
    <w:semiHidden/>
    <w:unhideWhenUsed/>
    <w:qFormat/>
    <w:pPr>
      <w:outlineLvl w:val="3"/>
    </w:pPr>
    <w:rPr>
      <w:i/>
      <w:iCs/>
      <w:color w:val="2E74B5"/>
    </w:rPr>
  </w:style>
  <w:style w:type="paragraph" w:styleId="Titolo5">
    <w:name w:val="heading 5"/>
    <w:uiPriority w:val="9"/>
    <w:semiHidden/>
    <w:unhideWhenUsed/>
    <w:qFormat/>
    <w:pPr>
      <w:outlineLvl w:val="4"/>
    </w:pPr>
    <w:rPr>
      <w:color w:val="2E74B5"/>
    </w:rPr>
  </w:style>
  <w:style w:type="paragraph" w:styleId="Titolo6">
    <w:name w:val="heading 6"/>
    <w:uiPriority w:val="9"/>
    <w:semiHidden/>
    <w:unhideWhenUsed/>
    <w:qFormat/>
    <w:pPr>
      <w:outlineLvl w:val="5"/>
    </w:pPr>
    <w:rPr>
      <w:color w:val="1F4D7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uiPriority w:val="10"/>
    <w:qFormat/>
    <w:rPr>
      <w:sz w:val="56"/>
      <w:szCs w:val="56"/>
    </w:rPr>
  </w:style>
  <w:style w:type="paragraph" w:customStyle="1" w:styleId="Enfasigrassetto1">
    <w:name w:val="Enfasi (grassetto)1"/>
    <w:qFormat/>
    <w:rPr>
      <w:b/>
      <w:bCs/>
    </w:rPr>
  </w:style>
  <w:style w:type="paragraph" w:styleId="Paragrafoelenco">
    <w:name w:val="List Paragraph"/>
    <w:qFormat/>
  </w:style>
  <w:style w:type="character" w:styleId="Collegamentoipertestuale">
    <w:name w:val="Hyperlink"/>
    <w:uiPriority w:val="99"/>
    <w:unhideWhenUsed/>
    <w:rPr>
      <w:color w:val="0563C1"/>
      <w:u w:val="single"/>
    </w:rPr>
  </w:style>
  <w:style w:type="character" w:styleId="Rimandonotaapidipagina">
    <w:name w:val="footnote reference"/>
    <w:uiPriority w:val="99"/>
    <w:semiHidden/>
    <w:unhideWhenUsed/>
    <w:rPr>
      <w:vertAlign w:val="superscript"/>
    </w:rPr>
  </w:style>
  <w:style w:type="paragraph" w:styleId="Testonotaapidipagina">
    <w:name w:val="footnote text"/>
    <w:link w:val="TestonotaapidipaginaCarattere"/>
    <w:uiPriority w:val="99"/>
    <w:semiHidden/>
    <w:unhideWhenUsed/>
    <w:rPr>
      <w:sz w:val="20"/>
      <w:szCs w:val="20"/>
    </w:rPr>
  </w:style>
  <w:style w:type="character" w:customStyle="1" w:styleId="TestonotaapidipaginaCarattere">
    <w:name w:val="Testo nota a piè di pagina Carattere"/>
    <w:link w:val="Testonotaapidipagina"/>
    <w:uiPriority w:val="99"/>
    <w:semiHidden/>
    <w:unhideWhenUsed/>
    <w:rPr>
      <w:sz w:val="20"/>
      <w:szCs w:val="20"/>
    </w:rPr>
  </w:style>
  <w:style w:type="character" w:styleId="Rimandonotadichiusura">
    <w:name w:val="endnote reference"/>
    <w:uiPriority w:val="99"/>
    <w:semiHidden/>
    <w:unhideWhenUsed/>
    <w:rPr>
      <w:vertAlign w:val="superscript"/>
    </w:rPr>
  </w:style>
  <w:style w:type="paragraph" w:styleId="Testonotadichiusura">
    <w:name w:val="endnote text"/>
    <w:link w:val="TestonotadichiusuraCarattere"/>
    <w:uiPriority w:val="99"/>
    <w:semiHidden/>
    <w:unhideWhenUsed/>
    <w:rPr>
      <w:sz w:val="20"/>
      <w:szCs w:val="20"/>
    </w:rPr>
  </w:style>
  <w:style w:type="character" w:customStyle="1" w:styleId="TestonotadichiusuraCarattere">
    <w:name w:val="Testo nota di chiusura Carattere"/>
    <w:link w:val="Testonotadichiusura"/>
    <w:uiPriority w:val="99"/>
    <w:semiHidden/>
    <w:unhideWhenUsed/>
    <w:rPr>
      <w:sz w:val="20"/>
      <w:szCs w:val="20"/>
    </w:rPr>
  </w:style>
  <w:style w:type="paragraph" w:styleId="Intestazione">
    <w:name w:val="header"/>
    <w:basedOn w:val="Normale"/>
    <w:link w:val="IntestazioneCarattere"/>
    <w:uiPriority w:val="99"/>
    <w:unhideWhenUsed/>
    <w:rsid w:val="00B23726"/>
    <w:pPr>
      <w:tabs>
        <w:tab w:val="center" w:pos="4819"/>
        <w:tab w:val="right" w:pos="9638"/>
      </w:tabs>
    </w:pPr>
  </w:style>
  <w:style w:type="character" w:customStyle="1" w:styleId="IntestazioneCarattere">
    <w:name w:val="Intestazione Carattere"/>
    <w:basedOn w:val="Carpredefinitoparagrafo"/>
    <w:link w:val="Intestazione"/>
    <w:uiPriority w:val="99"/>
    <w:rsid w:val="00B23726"/>
  </w:style>
  <w:style w:type="paragraph" w:styleId="Pidipagina">
    <w:name w:val="footer"/>
    <w:basedOn w:val="Normale"/>
    <w:link w:val="PidipaginaCarattere"/>
    <w:uiPriority w:val="99"/>
    <w:unhideWhenUsed/>
    <w:rsid w:val="00B23726"/>
    <w:pPr>
      <w:tabs>
        <w:tab w:val="center" w:pos="4819"/>
        <w:tab w:val="right" w:pos="9638"/>
      </w:tabs>
    </w:pPr>
  </w:style>
  <w:style w:type="character" w:customStyle="1" w:styleId="PidipaginaCarattere">
    <w:name w:val="Piè di pagina Carattere"/>
    <w:basedOn w:val="Carpredefinitoparagrafo"/>
    <w:link w:val="Pidipagina"/>
    <w:uiPriority w:val="99"/>
    <w:rsid w:val="00B23726"/>
  </w:style>
  <w:style w:type="character" w:styleId="Menzionenonrisolta">
    <w:name w:val="Unresolved Mention"/>
    <w:basedOn w:val="Carpredefinitoparagrafo"/>
    <w:uiPriority w:val="99"/>
    <w:semiHidden/>
    <w:unhideWhenUsed/>
    <w:rsid w:val="00DC4F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C554D7-A140-41D9-BAA4-53E78D1938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2515</Words>
  <Characters>14342</Characters>
  <Application>Microsoft Office Word</Application>
  <DocSecurity>0</DocSecurity>
  <Lines>119</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Gaia Angelini</cp:lastModifiedBy>
  <cp:revision>3</cp:revision>
  <dcterms:created xsi:type="dcterms:W3CDTF">2026-07-15T06:24:00Z</dcterms:created>
  <dcterms:modified xsi:type="dcterms:W3CDTF">2026-07-15T07:02:00Z</dcterms:modified>
</cp:coreProperties>
</file>