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pPr>
    </w:p>
    <w:p>
      <w:pPr>
        <w:spacing w:after="100"/>
        <w:jc w:val="center"/>
      </w:pPr>
      <w:r>
        <w:rPr>
          <w:b/>
          <w:bCs/>
          <w:color w:val="A6236E"/>
          <w:sz w:val="24"/>
          <w:szCs w:val="24"/>
        </w:rPr>
        <w:t xml:space="preserve">SINTESI POLITICA — EDIZIONE INTEGRATA</w:t>
      </w:r>
    </w:p>
    <w:p>
      <w:pPr>
        <w:spacing w:after="400"/>
        <w:jc w:val="center"/>
      </w:pPr>
      <w:r>
        <w:rPr>
          <w:b/>
          <w:bCs/>
          <w:color w:val="1F3A5C"/>
          <w:sz w:val="44"/>
          <w:szCs w:val="44"/>
        </w:rPr>
        <w:t xml:space="preserve">MICROPLASTICA E SALUTE PUBBLICA</w:t>
      </w:r>
    </w:p>
    <w:p>
      <w:pPr>
        <w:spacing w:after="600"/>
        <w:jc w:val="center"/>
      </w:pPr>
      <w:r>
        <w:rPr>
          <w:i/>
          <w:iCs/>
          <w:color w:val="333333"/>
          <w:sz w:val="26"/>
          <w:szCs w:val="26"/>
        </w:rPr>
        <w:t xml:space="preserve">Rischi riconosciuti e azioni politiche dell’UE</w:t>
      </w:r>
    </w:p>
    <w:p>
      <w:pPr>
        <w:spacing w:after="200"/>
        <w:jc w:val="center"/>
      </w:pPr>
      <w:r>
        <w:drawing>
          <wp:inline distT="0" distB="0" distL="0" distR="0">
            <wp:extent cx="1905000" cy="952500"/>
            <wp:effectExtent l="0" t="0" r="0" b="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1905000" cy="952500"/>
                    </a:xfrm>
                    <a:prstGeom prst="rect">
                      <a:avLst/>
                    </a:prstGeom>
                  </pic:spPr>
                </pic:pic>
              </a:graphicData>
            </a:graphic>
          </wp:inline>
        </w:drawing>
      </w:r>
    </w:p>
    <w:p>
      <w:pPr>
        <w:spacing w:after="100"/>
        <w:jc w:val="center"/>
      </w:pPr>
      <w:r>
        <w:rPr>
          <w:color w:val="888888"/>
          <w:sz w:val="18"/>
          <w:szCs w:val="18"/>
        </w:rPr>
        <w:t xml:space="preserve">in collaborazione con</w:t>
      </w:r>
    </w:p>
    <w:p>
      <w:pPr>
        <w:spacing w:after="500"/>
        <w:jc w:val="center"/>
      </w:pPr>
      <w:r>
        <w:drawing>
          <wp:inline distT="0" distB="0" distL="0" distR="0">
            <wp:extent cx="1714500" cy="904875"/>
            <wp:effectExtent l="0" t="0" r="0" b="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1714500" cy="904875"/>
                    </a:xfrm>
                    <a:prstGeom prst="rect">
                      <a:avLst/>
                    </a:prstGeom>
                  </pic:spPr>
                </pic:pic>
              </a:graphicData>
            </a:graphic>
          </wp:inline>
        </w:drawing>
      </w:r>
    </w:p>
    <w:p>
      <w:pPr>
        <w:spacing w:after="100"/>
        <w:jc w:val="center"/>
      </w:pPr>
      <w:r>
        <w:rPr>
          <w:color w:val="555555"/>
          <w:sz w:val="20"/>
          <w:szCs w:val="20"/>
        </w:rPr>
        <w:t xml:space="preserve">Documento informativo originale: febbraio 2026</w:t>
      </w:r>
    </w:p>
    <w:p>
      <w:pPr>
        <w:spacing w:after="800"/>
        <w:jc w:val="center"/>
      </w:pPr>
      <w:r>
        <w:rPr>
          <w:b/>
          <w:bCs/>
          <w:color w:val="555555"/>
          <w:sz w:val="20"/>
          <w:szCs w:val="20"/>
        </w:rPr>
        <w:t xml:space="preserve">Integrato con contenuti aggiuntivi del rapporto: luglio 2026</w:t>
      </w:r>
    </w:p>
    <w:p>
      <w:r>
        <w:br w:type="page"/>
      </w:r>
    </w:p>
    <w:p>
      <w:pPr>
        <w:pStyle w:val="Heading1"/>
        <w:pBdr>
          <w:bottom w:val="single" w:color="1F3A5C" w:sz="6" w:space="4"/>
        </w:pBdr>
        <w:spacing w:before="360" w:after="180"/>
      </w:pPr>
      <w:r>
        <w:rPr>
          <w:b/>
          <w:bCs/>
          <w:color w:val="1F3A5C"/>
          <w:sz w:val="32"/>
          <w:szCs w:val="32"/>
        </w:rPr>
        <w:t xml:space="preserve">1. Sintesi</w:t>
      </w:r>
    </w:p>
    <w:p>
      <w:pPr>
        <w:spacing w:after="160" w:line="300"/>
      </w:pPr>
      <w:r>
        <w:rPr>
          <w:color w:val="333333"/>
          <w:sz w:val="21"/>
          <w:szCs w:val="21"/>
        </w:rPr>
        <w:t xml:space="preserve">Le micro e nanoplastiche (MNP) rappresentano una crisi ambientale e di salute pubblica in continua escalation, con un corpus sempre più ampio di prove sottoposte a revisione tra pari che ne dimostrano la presenza nel sangue umano, nel latte materno, nei polmoni, nel tessuto cerebrale, nella placenta e persino nelle urine dei bambini. Queste particelle, una volta rilasciate nell’ambiente, sembrano praticamente impossibili da rimuovere e fungono da vettori di sostanze tossiche, tra cui interferenti endocrini, metalli pesanti, inquinanti organici persistenti (POP) e geni di resistenza agli antibiotici. L’esposizione avviene tramite ingestione, inalazione e contatto cutaneo, con effetti documentati che vanno dall’infiammazione e dallo stress ossidativo alla neurotossicità, alla tossicità riproduttiva, ai disturbi dello sviluppo e alla cancerogenicità. Le popolazioni particolarmente vulnerabili — tra cui bambini, donne in gravidanza e comunità in prima linea — sono esposte a rischi per la salute sproporzionati, mentre l’accumulo ambientale minaccia gli ecosistemi e la biodiversità.</w:t>
      </w:r>
    </w:p>
    <w:p>
      <w:pPr>
        <w:spacing w:after="160" w:line="300"/>
      </w:pPr>
      <w:r>
        <w:rPr>
          <w:color w:val="333333"/>
          <w:sz w:val="21"/>
          <w:szCs w:val="21"/>
        </w:rPr>
        <w:t xml:space="preserve">Il ciclo politico dell’UE 2024–2029 offre un’opportunità storica per attuare misure sistemiche, basate sulla scienza e applicabili al fine di mitigare tali rischi. Il presente documento di sintesi fornisce una panoramica completa delle più recenti ricerche tossicologiche e individua azioni strategiche destinate ai responsabili politici per accelerare l’eliminazione graduale dei polimeri pericolosi, rafforzare la responsabilità dei produttori e migliorare la tutela della salute nell’ambito dei principali quadri normativi dell’UE. Sottolinea l’urgente necessità di integrare la prevenzione delle microplastiche nella futura legge sull’economia circolare, nel piano d’azione per l’industria chimica, nella strategia dell’UE per la bioeconomia e nella strategia europea per la resilienza idrica. Sebbene le recenti iniziative legislative — quali la restrizione REACH sulle microplastiche aggiunte intenzionalmente e la proposta di regolamento sulla dispersione dei pellet — siano lodevoli, permangono importanti lacune normative per quanto riguarda la formazione secondaria di microplastiche, il monitoraggio armonizzato e gli incentivi alla sostituzione con materiali più sicuri.</w:t>
      </w:r>
    </w:p>
    <w:p>
      <w:pPr>
        <w:spacing w:after="160" w:line="300"/>
      </w:pPr>
      <w:r>
        <w:rPr>
          <w:color w:val="333333"/>
          <w:sz w:val="21"/>
          <w:szCs w:val="21"/>
        </w:rPr>
        <w:t xml:space="preserve">L’Europa deve dare l’esempio: l’UE ha il mandato e la responsabilità morale di promuovere disposizioni internazionali giuridicamente vincolanti in materia di controllo delle microplastiche, riprogettazione dei prodotti e monitoraggio sanitario. Un’azione coordinata tra gli Stati membri, ingenti investimenti nella ricerca e nell’innovazione e l’adozione di standard comuni per il rilevamento, la valutazione dei rischi e la bonifica saranno fondamentali per prevenire danni irreversibili alla salute pubblica e all’ambiente. È ora di agire — e l’UE deve essere audace, ambiziosa e intransigente nel suo impegno a proteggere le generazioni attuali e future dalla minaccia pervasiva delle microplastiche.</w:t>
      </w:r>
    </w:p>
    <w:p>
      <w:pPr>
        <w:pStyle w:val="Heading1"/>
        <w:pBdr>
          <w:bottom w:val="single" w:color="1F3A5C" w:sz="6" w:space="4"/>
        </w:pBdr>
        <w:spacing w:before="360" w:after="180"/>
      </w:pPr>
      <w:r>
        <w:rPr>
          <w:b/>
          <w:bCs/>
          <w:color w:val="1F3A5C"/>
          <w:sz w:val="32"/>
          <w:szCs w:val="32"/>
        </w:rPr>
        <w:t xml:space="preserve">2. Gli scienziati si esprimono sulle microplastiche e la salute</w:t>
      </w:r>
    </w:p>
    <w:p>
      <w:pPr>
        <w:pBdr>
          <w:left w:val="single" w:color="1F3A5C" w:sz="18" w:space="8"/>
        </w:pBdr>
        <w:spacing w:after="60" w:line="280"/>
        <w:ind w:start="300"/>
      </w:pPr>
      <w:r>
        <w:rPr>
          <w:b/>
          <w:bCs/>
          <w:color w:val="1F3A5C"/>
          <w:sz w:val="21"/>
          <w:szCs w:val="21"/>
        </w:rPr>
        <w:t xml:space="preserve">La professoressa Patricia Hunt: </w:t>
      </w:r>
      <w:r>
        <w:rPr>
          <w:i/>
          <w:iCs/>
          <w:color w:val="333333"/>
          <w:sz w:val="21"/>
          <w:szCs w:val="21"/>
        </w:rPr>
        <w:t xml:space="preserve">«Da oltre 20 anni mi occupo di sostanze chimiche plastificanti (come i bisfenoli e gli ftalati — sostanze chimiche che sono interferenti endocrini) e tutto ciò che abbiamo fatto in laboratorio con queste sostanze mi ha convinto che non solo possono influire sulla nostra fertilità e sulla nostra salute generale, ma lo stanno già facendo. Sappiamo inoltre che alcuni degli effetti di queste sostanze sono transgenerazionali. Ciò significa che possono influenzare le generazioni successive anche se queste ultime non sono esposte direttamente a tali sostanze».</w:t>
      </w:r>
    </w:p>
    <w:p>
      <w:pPr>
        <w:spacing w:after="200"/>
        <w:ind w:start="300"/>
      </w:pPr>
      <w:r>
        <w:rPr>
          <w:color w:val="888888"/>
          <w:sz w:val="16"/>
          <w:szCs w:val="16"/>
        </w:rPr>
        <w:t xml:space="preserve">Facoltà di Bioscienze Molecolari, Washington State University — Plastic Health Summit 2021, 18 novembre 2021.</w:t>
      </w:r>
    </w:p>
    <w:p>
      <w:pPr>
        <w:pBdr>
          <w:left w:val="single" w:color="1F3A5C" w:sz="18" w:space="8"/>
        </w:pBdr>
        <w:spacing w:after="60" w:line="280"/>
        <w:ind w:start="300"/>
      </w:pPr>
      <w:r>
        <w:rPr>
          <w:b/>
          <w:bCs/>
          <w:color w:val="1F3A5C"/>
          <w:sz w:val="21"/>
          <w:szCs w:val="21"/>
        </w:rPr>
        <w:t xml:space="preserve">Prof. Dr. Lukas Kenner: </w:t>
      </w:r>
      <w:r>
        <w:rPr>
          <w:i/>
          <w:iCs/>
          <w:color w:val="333333"/>
          <w:sz w:val="21"/>
          <w:szCs w:val="21"/>
        </w:rPr>
        <w:t xml:space="preserve">«Sappiamo che le particelle di microplastica possono penetrare nell’embrione attraverso la barriera placentare. [...] Il feto è quello che subisce il carico maggiore di quelle particelle di plastica. Temo che le particelle di plastica possano portare a un’insorgenza precoce del cancro e che l’accumulo di plastica nel mondo e nei nostri ecosistemi possa portare a un numero sempre maggiore di casi di cancro nelle prime fasi della vita delle persone. Sarebbe praticamente un disastro.”</w:t>
      </w:r>
    </w:p>
    <w:p>
      <w:pPr>
        <w:spacing w:after="200"/>
        <w:ind w:start="300"/>
      </w:pPr>
      <w:r>
        <w:rPr>
          <w:color w:val="888888"/>
          <w:sz w:val="16"/>
          <w:szCs w:val="16"/>
        </w:rPr>
        <w:t xml:space="preserve">Ricercatrice oncologica e vicedirettrice dell’Istituto clinico di Patologia dell’Università di Medicina di Vienna — 24 aprile 2024.</w:t>
      </w:r>
    </w:p>
    <w:p>
      <w:pPr>
        <w:pBdr>
          <w:left w:val="single" w:color="1F3A5C" w:sz="18" w:space="8"/>
        </w:pBdr>
        <w:spacing w:after="60" w:line="280"/>
        <w:ind w:start="300"/>
      </w:pPr>
      <w:r>
        <w:rPr>
          <w:b/>
          <w:bCs/>
          <w:color w:val="1F3A5C"/>
          <w:sz w:val="21"/>
          <w:szCs w:val="21"/>
        </w:rPr>
        <w:t xml:space="preserve">Prof.ssa Thais Mauad: </w:t>
      </w:r>
      <w:r>
        <w:rPr>
          <w:i/>
          <w:iCs/>
          <w:color w:val="333333"/>
          <w:sz w:val="21"/>
          <w:szCs w:val="21"/>
        </w:rPr>
        <w:t xml:space="preserve">«Numerose ricerche hanno dimostrato che le microplastiche sono presenti nel nostro corpo: in ogni organo esaminato dai ricercatori sono state rinvenute microplastiche. Siamo stati i primi a dimostrare che le microplastiche possono raggiungere il cervello. [...] Confesso di essermi un po’ preoccupata per la facilità con cui le particelle riescono a penetrare nel nostro cervello. Il cervello dovrebbe essere il nostro organo più protetto. [...] Le particelle che abbiamo trovato nel cervello erano per lo più polipropilene, poliestere e polietilene — materie plastiche ampiamente prodotte e presenti in imballaggi, abbigliamento e mobili. Questo è molto preoccupante. Ho paura della plastica a causa di questa contaminazione diffusa. Il fatto che le microplastiche influenzino la struttura del DNA causandone il danneggiamento ha diverse conseguenze per noi.”</w:t>
      </w:r>
    </w:p>
    <w:p>
      <w:pPr>
        <w:spacing w:after="200"/>
        <w:ind w:start="300"/>
      </w:pPr>
      <w:r>
        <w:rPr>
          <w:color w:val="888888"/>
          <w:sz w:val="16"/>
          <w:szCs w:val="16"/>
        </w:rPr>
        <w:t xml:space="preserve">Professore associato, Università di San Paolo — 29 novembre 2024.</w:t>
      </w:r>
    </w:p>
    <w:p>
      <w:pPr>
        <w:pBdr>
          <w:left w:val="single" w:color="1F3A5C" w:sz="18" w:space="8"/>
        </w:pBdr>
        <w:spacing w:after="60" w:line="280"/>
        <w:ind w:start="300"/>
      </w:pPr>
      <w:r>
        <w:rPr>
          <w:b/>
          <w:bCs/>
          <w:color w:val="1F3A5C"/>
          <w:sz w:val="21"/>
          <w:szCs w:val="21"/>
        </w:rPr>
        <w:t xml:space="preserve">Prof.ssa Shanna Swan: </w:t>
      </w:r>
      <w:r>
        <w:rPr>
          <w:i/>
          <w:iCs/>
          <w:color w:val="333333"/>
          <w:sz w:val="21"/>
          <w:szCs w:val="21"/>
        </w:rPr>
        <w:t xml:space="preserve">«Credo che ci troviamo in una situazione di crisi. Credo che la plastica presente nelle nostre vite stia minacciando la nostra sopravvivenza come specie e quella di tutte le forme di vita del pianeta. Non può esserci minaccia più grave. [...] Il numero di spermatozoi è diminuito dell’1% all’anno. Dal 2000, il tasso è aumentato a circa il 2,6% all’anno. Anche altre specie esposte alle stesse sostanze chimiche stanno subendo un declino — e non stanno scegliendo di rimandare la procreazione. [...] Il mio messaggio all’industria petrolchimica è che non avete il diritto di avvelenare le persone in tanti modi diversi. Gli effetti di queste sostanze chimiche sulla salute delle persone sono criminali. Loro non hanno chiesto questa esposizione, non l’hanno accettata, e voi state minacciando la loro salute — e forse la sopravvivenza delle specie del pianeta».</w:t>
      </w:r>
    </w:p>
    <w:p>
      <w:pPr>
        <w:spacing w:after="200"/>
        <w:ind w:start="300"/>
      </w:pPr>
      <w:r>
        <w:rPr>
          <w:color w:val="888888"/>
          <w:sz w:val="16"/>
          <w:szCs w:val="16"/>
        </w:rPr>
        <w:t xml:space="preserve">Icahn School of Medicine at Mount Sinai — 13 agosto 2025.</w:t>
      </w:r>
    </w:p>
    <w:p>
      <w:pPr>
        <w:pBdr>
          <w:left w:val="single" w:color="1F3A5C" w:sz="18" w:space="8"/>
        </w:pBdr>
        <w:spacing w:after="60" w:line="280"/>
        <w:ind w:start="300"/>
      </w:pPr>
      <w:r>
        <w:rPr>
          <w:b/>
          <w:bCs/>
          <w:color w:val="1F3A5C"/>
          <w:sz w:val="21"/>
          <w:szCs w:val="21"/>
        </w:rPr>
        <w:t xml:space="preserve">Prof.ssa Barbro Melgert: </w:t>
      </w:r>
      <w:r>
        <w:rPr>
          <w:i/>
          <w:iCs/>
          <w:color w:val="333333"/>
          <w:sz w:val="21"/>
          <w:szCs w:val="21"/>
        </w:rPr>
        <w:t xml:space="preserve">«Questo rapporto offre un contributo prezioso, mappando sistematicamente l’enorme gamma di fonti quotidiane attraverso le quali gli esseri umani sono esposti alle micro e nanoplastiche. Lo sforzo di quantificare le esposizioni nelle diverse categorie di prodotti è esattamente ciò di cui il settore ha bisogno per progredire. In qualità di ricercatrice nel campo della pneumologia, apprezzo in particolare l’attenzione rivolta all’inalazione come via di esposizione, che rimane sottovalutata dall’opinione pubblica nonostante le prove dimostrino che sia importante almeno quanto l’esposizione attraverso cibi e bevande. Questo rapporto chiarisce che l’esposizione è inevitabile e proviene da tutte le direzioni, e che questa consapevolezza è essenziale per guidare sia le scelte individuali che il cambiamento sistemico».</w:t>
      </w:r>
    </w:p>
    <w:p>
      <w:pPr>
        <w:spacing w:after="200"/>
        <w:ind w:start="300"/>
      </w:pPr>
      <w:r>
        <w:rPr>
          <w:color w:val="888888"/>
          <w:sz w:val="16"/>
          <w:szCs w:val="16"/>
        </w:rPr>
        <w:t xml:space="preserve">Professore di Immunologia respiratoria, Università di Groninga. [Aggiunto dal rapporto di accompagnamento — non presente nel briefing originale.]</w:t>
      </w:r>
    </w:p>
    <w:p>
      <w:pPr>
        <w:pStyle w:val="Heading1"/>
        <w:pBdr>
          <w:bottom w:val="single" w:color="1F3A5C" w:sz="6" w:space="4"/>
        </w:pBdr>
        <w:spacing w:before="360" w:after="180"/>
      </w:pPr>
      <w:r>
        <w:rPr>
          <w:b/>
          <w:bCs/>
          <w:color w:val="1F3A5C"/>
          <w:sz w:val="32"/>
          <w:szCs w:val="32"/>
        </w:rPr>
        <w:t xml:space="preserve">3. Raccomandazioni per i responsabili politici dell’UE</w:t>
      </w:r>
    </w:p>
    <w:p>
      <w:pPr>
        <w:pStyle w:val="ListParagraph"/>
        <w:numPr>
          <w:ilvl w:val="0"/>
          <w:numId w:val="2"/>
        </w:numPr>
        <w:spacing w:after="120" w:line="280"/>
      </w:pPr>
      <w:r>
        <w:rPr>
          <w:color w:val="333333"/>
          <w:sz w:val="21"/>
          <w:szCs w:val="21"/>
        </w:rPr>
        <w:t xml:space="preserve">Una revisione sostanziale della direttiva quadro sui rifiuti dovrebbe costituire una priorità durante questo mandato europeo ed essere parte integrante della prevista legge sull’economia circolare. In particolare, la legge dovrebbe includere una revisione dei sistemi di responsabilità ambientale del produttore (EPR) per rendere i produttori responsabili dell’intero ciclo di vita del prodotto, non solo della fase di fine vita — compreso il rilascio di microplastiche durante le fasi di utilizzo e degradazione. I sistemi di EPR devono finanziare attivamente la prevenzione dei rifiuti, il riutilizzo, la riparazione e la sostituzione dei materiali a base di polimeri, attraverso fondi e infrastrutture dedicati alla riparazione e al riutilizzo, un sostegno mirato alla progettazione priva di microplastiche e misure politiche allineate.</w:t>
      </w:r>
    </w:p>
    <w:p>
      <w:pPr>
        <w:pStyle w:val="ListParagraph"/>
        <w:numPr>
          <w:ilvl w:val="0"/>
          <w:numId w:val="2"/>
        </w:numPr>
        <w:spacing w:after="120" w:line="280"/>
      </w:pPr>
      <w:r>
        <w:rPr>
          <w:color w:val="333333"/>
          <w:sz w:val="21"/>
          <w:szCs w:val="21"/>
        </w:rPr>
        <w:t xml:space="preserve">Il Piano d’azione dell’industria chimica europea dovrebbe includere, come priorità urgente, incentivi fiscali e misure tributarie per stimolare la domanda di sostanze chimiche pulite e accelerare la sostituzione dei polimeri pericolosi e persistenti. I futuri Poli di innovazione e sostituzione dell’UE, così come «Orizzonte Europa», dovrebbero mettere a disposizione maggiori fondi per accelerare lo sviluppo di sostituti chimici più sicuri, sostenibili e privi di microplastiche.</w:t>
      </w:r>
    </w:p>
    <w:p>
      <w:pPr>
        <w:pStyle w:val="ListParagraph"/>
        <w:numPr>
          <w:ilvl w:val="0"/>
          <w:numId w:val="2"/>
        </w:numPr>
        <w:spacing w:after="120" w:line="280"/>
      </w:pPr>
      <w:r>
        <w:rPr>
          <w:color w:val="333333"/>
          <w:sz w:val="21"/>
          <w:szCs w:val="21"/>
        </w:rPr>
        <w:t xml:space="preserve">Il piano di lavoro sui tessili e sull’abbigliamento, da adottare entro il 2027 ai sensi del regolamento sulla progettazione ecocompatibile dei prodotti sostenibili (ESPR), dovrebbe includere misure concrete e vincolanti per mitigare il rilascio di microplastiche durante l’intero ciclo di vita dei prodotti tessili — dalla produzione delle fibre al lavaggio e allo smaltimento — comprese norme sul rilascio di microfibre, criteri di durabilità, tecnologie di filtrazione obbligatorie e protocolli di progettazione finalizzati alla riciclabilità.</w:t>
      </w:r>
    </w:p>
    <w:p>
      <w:pPr>
        <w:pStyle w:val="ListParagraph"/>
        <w:numPr>
          <w:ilvl w:val="0"/>
          <w:numId w:val="2"/>
        </w:numPr>
        <w:spacing w:after="120" w:line="280"/>
      </w:pPr>
      <w:r>
        <w:rPr>
          <w:color w:val="333333"/>
          <w:sz w:val="21"/>
          <w:szCs w:val="21"/>
        </w:rPr>
        <w:t xml:space="preserve">Le azioni faro della Strategia dell’UE per la resilienza idrica [cfr. la nota editoriale, nella pagina seguente, sullo strumento specifico attualmente in fase di revisione] dovrebbero affrontare con urgenza l’inquinamento da microplastiche dei corpi idrici, considerandolo un grave rischio per la salute e l’ambiente, e integrando obiettivi urgenti e applicabili nelle politiche relative alle acque dolci e marine.</w:t>
      </w:r>
    </w:p>
    <w:p>
      <w:pPr>
        <w:spacing w:after="160" w:line="300"/>
      </w:pPr>
      <w:r>
        <w:rPr>
          <w:color w:val="333333"/>
          <w:sz w:val="21"/>
          <w:szCs w:val="21"/>
        </w:rPr>
        <w:t xml:space="preserve">In particolare, nel discutere le iniziative di cui sopra o altre proposte pertinenti, dovrebbero essere proposte e sostenute le seguenti azioni:</w:t>
      </w:r>
    </w:p>
    <w:p>
      <w:pPr>
        <w:pStyle w:val="ListParagraph"/>
        <w:numPr>
          <w:ilvl w:val="0"/>
          <w:numId w:val="2"/>
        </w:numPr>
        <w:spacing w:after="120" w:line="280"/>
      </w:pPr>
      <w:r>
        <w:rPr>
          <w:color w:val="333333"/>
          <w:sz w:val="21"/>
          <w:szCs w:val="21"/>
        </w:rPr>
        <w:t xml:space="preserve">Accelerare i divieti relativi alle fonti di microplastiche ad alto rischio.</w:t>
      </w:r>
    </w:p>
    <w:p>
      <w:pPr>
        <w:pStyle w:val="ListParagraph"/>
        <w:numPr>
          <w:ilvl w:val="0"/>
          <w:numId w:val="2"/>
        </w:numPr>
        <w:spacing w:after="120" w:line="280"/>
      </w:pPr>
      <w:r>
        <w:rPr>
          <w:color w:val="333333"/>
          <w:sz w:val="21"/>
          <w:szCs w:val="21"/>
        </w:rPr>
        <w:t xml:space="preserve">Rimuovere le barriere di mercato per materiali e sistemi alternativi, compresi i materiali a base biologica e biodegradabili (ad esempio imballaggi ricavati da scarti agricoli o fibre naturali), attraverso norme armonizzate e il sostegno previsto dalla Strategia per la bioeconomia.</w:t>
      </w:r>
    </w:p>
    <w:p>
      <w:pPr>
        <w:pStyle w:val="ListParagraph"/>
        <w:numPr>
          <w:ilvl w:val="0"/>
          <w:numId w:val="2"/>
        </w:numPr>
        <w:spacing w:after="120" w:line="280"/>
      </w:pPr>
      <w:r>
        <w:rPr>
          <w:color w:val="333333"/>
          <w:sz w:val="21"/>
          <w:szCs w:val="21"/>
        </w:rPr>
        <w:t xml:space="preserve">Evitare costi regressivi di gestione dei rifiuti a carico dei cittadini dell’UE, passando a un finanziamento basato sulla responsabilità del produttore nell’ambito della Direttiva sulle acque (WFD), anziché a tasse generali sulla plastica a carico dei consumatori (ad esempio, ripensare l’attuazione della Direttiva sulla plastica monouso in quest’ottica).</w:t>
      </w:r>
    </w:p>
    <w:p>
      <w:pPr>
        <w:pStyle w:val="ListParagraph"/>
        <w:numPr>
          <w:ilvl w:val="0"/>
          <w:numId w:val="2"/>
        </w:numPr>
        <w:spacing w:after="120" w:line="280"/>
      </w:pPr>
      <w:r>
        <w:rPr>
          <w:color w:val="333333"/>
          <w:sz w:val="21"/>
          <w:szCs w:val="21"/>
        </w:rPr>
        <w:t xml:space="preserve">Rafforzare i finanziamenti alla ricerca nell’ambito del quadro finanziario pluriennale post-2027, con un bando specifico nell’ambito dei programmi che succederanno a «Orizzonte» per la ricerca interdisciplinare sulle microplastiche in ambito sanitario e ambientale.</w:t>
      </w:r>
    </w:p>
    <w:p>
      <w:pPr>
        <w:pStyle w:val="ListParagraph"/>
        <w:numPr>
          <w:ilvl w:val="0"/>
          <w:numId w:val="2"/>
        </w:numPr>
        <w:spacing w:after="120" w:line="280"/>
      </w:pPr>
      <w:r>
        <w:rPr>
          <w:color w:val="333333"/>
          <w:sz w:val="21"/>
          <w:szCs w:val="21"/>
        </w:rPr>
        <w:t xml:space="preserve">Garantire una forte leadership dell’UE nel Trattato globale sulla plastica, con il mandato di perseguire disposizioni giuridicamente vincolanti sulla produzione, il rilascio e il monitoraggio delle microplastiche — in particolare in vista dell’INC-5.2 a Ginevra (agosto 2025).</w:t>
      </w:r>
    </w:p>
    <w:p>
      <w:pPr>
        <w:pStyle w:val="ListParagraph"/>
        <w:numPr>
          <w:ilvl w:val="0"/>
          <w:numId w:val="2"/>
        </w:numPr>
        <w:spacing w:after="120" w:line="280"/>
      </w:pPr>
      <w:r>
        <w:rPr>
          <w:color w:val="333333"/>
          <w:sz w:val="21"/>
          <w:szCs w:val="21"/>
        </w:rPr>
        <w:t xml:space="preserve">Migliorare le campagne di sensibilizzazione e di educazione del pubblico sui rischi per la salute e l’ambiente legati alle microplastiche, in particolare per i gruppi vulnerabili.</w:t>
      </w:r>
    </w:p>
    <w:p>
      <w:pPr>
        <w:pStyle w:val="ListParagraph"/>
        <w:numPr>
          <w:ilvl w:val="0"/>
          <w:numId w:val="2"/>
        </w:numPr>
        <w:spacing w:after="120" w:line="280"/>
      </w:pPr>
      <w:r>
        <w:rPr>
          <w:color w:val="333333"/>
          <w:sz w:val="21"/>
          <w:szCs w:val="21"/>
        </w:rPr>
        <w:t xml:space="preserve">Parallelamente, l’UE dovrebbe aumentare in modo significativo gli investimenti nello sviluppo, nella diffusione e nell’adozione da parte del mercato di alternative alla plastica convenzionale, al fine di ridurre la dipendenza strutturale dai materiali a base di polimeri, consentendo alle alternative sicure, accessibili e ad alte prestazioni di passare da applicazioni di nicchia a un uso diffuso in settori chiave.</w:t>
      </w:r>
    </w:p>
    <w:p>
      <w:pPr>
        <w:pStyle w:val="Heading1"/>
        <w:pBdr>
          <w:bottom w:val="single" w:color="1F3A5C" w:sz="6" w:space="4"/>
        </w:pBdr>
        <w:spacing w:before="360" w:after="180"/>
      </w:pPr>
      <w:r>
        <w:rPr>
          <w:b/>
          <w:bCs/>
          <w:color w:val="1F3A5C"/>
          <w:sz w:val="32"/>
          <w:szCs w:val="32"/>
        </w:rPr>
        <w:t xml:space="preserve">4. Quadro legislativo dell’UE</w:t>
      </w:r>
    </w:p>
    <w:p>
      <w:pPr>
        <w:spacing w:after="160" w:line="300"/>
      </w:pPr>
      <w:r>
        <w:rPr>
          <w:color w:val="333333"/>
          <w:sz w:val="21"/>
          <w:szCs w:val="21"/>
        </w:rPr>
        <w:t xml:space="preserve">L’Unione europea ha progressivamente costruito un quadro normativo per affrontare il crescente problema delle microplastiche, integrando le misure in contesti più ampi quali l’ambiente, la salute e l’economia circolare. Al centro di questo quadro vi sono il Piano d’azione per l’economia circolare e il Piano d’azione «Zero Inquinamento»: l’obiettivo della Commissione è ridurre le emissioni di microplastiche di almeno il 30% e i rifiuti plastici marini del 50% entro il 2030, inquadrando l’obiettivo a più lungo termine di raggiungere livelli di inquinamento «non più nocivi» entro il 2050. Tra i principali cambiamenti legislativi figurano anche gli aggiornamenti alla direttiva sul trattamento delle acque reflue urbane e alla direttiva sull’acqua potabile, volti a introdurre il monitoraggio e la mitigazione delle microplastiche nelle fonti idriche.</w:t>
      </w:r>
    </w:p>
    <w:p>
      <w:pPr>
        <w:pStyle w:val="Heading2"/>
        <w:spacing w:before="260" w:after="140"/>
      </w:pPr>
      <w:r>
        <w:rPr>
          <w:b/>
          <w:bCs/>
          <w:color w:val="A6236E"/>
          <w:sz w:val="26"/>
          <w:szCs w:val="26"/>
        </w:rPr>
        <w:t xml:space="preserve">4.1 Norme adottate e stato di attuazione</w:t>
      </w:r>
    </w:p>
    <w:p>
      <w:pPr>
        <w:spacing w:after="160" w:line="300"/>
      </w:pPr>
      <w:r>
        <w:rPr>
          <w:b/>
          <w:bCs/>
          <w:color w:val="1F3A5C"/>
          <w:sz w:val="21"/>
          <w:szCs w:val="21"/>
        </w:rPr>
        <w:t xml:space="preserve">Direttiva quadro sulla strategia marina (MSFD). </w:t>
      </w:r>
      <w:r>
        <w:rPr>
          <w:color w:val="333333"/>
          <w:sz w:val="21"/>
          <w:szCs w:val="21"/>
        </w:rPr>
        <w:t xml:space="preserve">Adottata nel 2008, la MSFD è la principale normativa dell’UE in materia di protezione dell’ambiente marino, che impone strategie nazionali coordinate per raggiungere il «buono stato ecologico» (GES). Tra i suoi undici descrittori ambientali, il descrittore 10 (D10) riguarda i rifiuti marini, comprese le microplastiche. La direttiva, rafforzata dalla decisione (UE) 2017/848 della Commissione, stabilisce chiari requisiti di monitoraggio per le microplastiche (D10C2), insieme alle macroplastiche e al loro impatto sulla vita marina.</w:t>
      </w:r>
    </w:p>
    <w:p>
      <w:pPr>
        <w:spacing w:after="160" w:line="300"/>
      </w:pPr>
      <w:r>
        <w:rPr>
          <w:b/>
          <w:bCs/>
          <w:color w:val="1F3A5C"/>
          <w:sz w:val="21"/>
          <w:szCs w:val="21"/>
        </w:rPr>
        <w:t xml:space="preserve">Regolamento sui prodotti fertilizzanti (FPR). </w:t>
      </w:r>
      <w:r>
        <w:rPr>
          <w:color w:val="333333"/>
          <w:sz w:val="21"/>
          <w:szCs w:val="21"/>
        </w:rPr>
        <w:t xml:space="preserve">In vigore dal 16 luglio 2022, l’FPR limita le impurità nei fertilizzanti, fissando un limite massimo di 3 g/kg di sostanza secca per la plastica macroscopica, il vetro e i metalli (con un limite individuale di 5 g/kg per la plastica); tale soglia sarà ridotta a 2,5 g/kg entro luglio 2026, per essere poi rivalutata entro il 16 luglio 2029 alla luce dei progressi compiuti nella raccolta separata dei rifiuti organici. Gli additivi tecnici, quali gli agenti antiagglomeranti, dovranno soddisfare i criteri di biodegradabilità entro il 2026, sebbene i fertilizzanti a rilascio controllato (CRF) — in cui i rivestimenti polimerici consentono un rilascio mirato di nutrienti — rimangano esenti, lasciando delle lacune nella gestione della dispersione dei polimeri. I produttori devono attuare rigorosi controlli di qualità e formazione del personale per identificare i materiali pericolosi.</w:t>
      </w:r>
    </w:p>
    <w:p>
      <w:pPr>
        <w:spacing w:after="160" w:line="300"/>
      </w:pPr>
      <w:r>
        <w:rPr>
          <w:b/>
          <w:bCs/>
          <w:color w:val="1F3A5C"/>
          <w:sz w:val="21"/>
          <w:szCs w:val="21"/>
        </w:rPr>
        <w:t xml:space="preserve">Restrizione REACH sulle microplastiche aggiunte intenzionalmente. </w:t>
      </w:r>
      <w:r>
        <w:rPr>
          <w:color w:val="333333"/>
          <w:sz w:val="21"/>
          <w:szCs w:val="21"/>
        </w:rPr>
        <w:t xml:space="preserve">Adottata il 25 settembre 2023 (Regolamento 2023/2055), questa restrizione vieta l’aggiunta intenzionale di microparticelle di polimeri sintetici (SPM) nei prodotti, compresi i cosmetici, a seguito di una conclusione dell’ECHA secondo cui tali rilasci comportano un rischio non adeguatamente controllato. Per essere classificate come SPM, le particelle devono essere polimeri solidi, non degradabili, non solubili e contenenti carbonio, presenti in una percentuale pari o superiore all’1% in peso o che formano un rivestimento continuo; sono esclusi i polimeri liquidi, naturali, degradabili o solubili. Si prevede che il divieto consentirà di evitare l’emissione di 500.000 tonnellate di microplastiche nell’arco di due decenni. La conformità è scaglionata: cosmetici da risciacquare entro il 2027, altri beni di consumo con scadenze intermedie e prodotti per il trucco e per le unghie entro il 2035 (con l’obbligo di etichette di avvertenza a partire dal 2031).</w:t>
      </w:r>
    </w:p>
    <w:p>
      <w:pPr>
        <w:spacing w:after="160" w:line="300"/>
      </w:pPr>
      <w:r>
        <w:rPr>
          <w:b/>
          <w:bCs/>
          <w:color w:val="1F3A5C"/>
          <w:sz w:val="21"/>
          <w:szCs w:val="21"/>
        </w:rPr>
        <w:t xml:space="preserve">Direttiva sulla plastica monouso (SUPD). </w:t>
      </w:r>
      <w:r>
        <w:rPr>
          <w:color w:val="333333"/>
          <w:sz w:val="21"/>
          <w:szCs w:val="21"/>
        </w:rPr>
        <w:t xml:space="preserve">La SUPD vieta o limita i dieci articoli monouso — tra cui bastoncini per le orecchie, posate, piatti, cannucce, bastoncini per mescolare, bastoncini per palloncini, contenitori per alimenti e bevande, mozziconi di sigaretta e salviettine umidificate — che, insieme agli attrezzi da pesca abbandonati, rappresentano il 70% dei rifiuti marini. Le misure complementari comprendono requisiti di progettazione (tappi delle bottiglie fissati al corpo della bottiglia) e obiettivi di riciclaggio (90% per le bottiglie entro il 2029). La Commissione valuterà l’attuazione della SUPD negli Stati membri entro il 3 luglio 2027.</w:t>
      </w:r>
    </w:p>
    <w:p>
      <w:pPr>
        <w:spacing w:after="160" w:line="300"/>
      </w:pPr>
      <w:r>
        <w:rPr>
          <w:b/>
          <w:bCs/>
          <w:color w:val="1F3A5C"/>
          <w:sz w:val="21"/>
          <w:szCs w:val="21"/>
        </w:rPr>
        <w:t xml:space="preserve">Regolamento sulla limitazione delle microplastiche (UE 2023/2055). </w:t>
      </w:r>
      <w:r>
        <w:rPr>
          <w:color w:val="333333"/>
          <w:sz w:val="21"/>
          <w:szCs w:val="21"/>
        </w:rPr>
        <w:t xml:space="preserve">Con effetto dal 17 ottobre 2023, il regolamento stabilisce un’eliminazione graduale per le diverse categorie di prodotti: cosmetici da risciacquo senza microsfere a partire da ottobre 2027, detergenti a partire da ottobre 2028, prodotti agricoli a partire da ottobre 2029, superfici sportive sintetiche a partire da ottobre 2031 e determinati prodotti di trucco a partire da ottobre 2035 — un approccio graduale concepito per conciliare l’adeguamento dell’industria con la tutela dell’ambiente.</w:t>
      </w:r>
    </w:p>
    <w:p>
      <w:pPr>
        <w:spacing w:after="160" w:line="300"/>
      </w:pPr>
      <w:r>
        <w:rPr>
          <w:b/>
          <w:bCs/>
          <w:color w:val="1F3A5C"/>
          <w:sz w:val="21"/>
          <w:szCs w:val="21"/>
        </w:rPr>
        <w:t xml:space="preserve">Regolamento sugli imballaggi e sui rifiuti di imballaggio (PPWR). </w:t>
      </w:r>
      <w:r>
        <w:rPr>
          <w:color w:val="333333"/>
          <w:sz w:val="21"/>
          <w:szCs w:val="21"/>
        </w:rPr>
        <w:t xml:space="preserve">Entrato in vigore nel febbraio 2025 e applicabile a partire dal 12 agosto 2026, il PPWR affronta il problema dei rifiuti di imballaggio, che rappresentano circa il 40% della plastica utilizzata nell’UE. La maggior parte degli imballaggi dovrà essere effettivamente riciclabile entro il 2030, con requisiti relativi al contenuto riciclato (attualmente limitati a un massimo del 35% per gli imballaggi in plastica) e l’eliminazione graduale degli imballaggi monouso non necessari. La responsabilità estesa del produttore trasferisce il costo degli imballaggi non conformi ai produttori. [Aggiunto dal rapporto di accompagnamento — il PPWR non era trattato nel briefing originale.]</w:t>
      </w:r>
    </w:p>
    <w:p>
      <w:pPr>
        <w:pStyle w:val="Heading2"/>
        <w:spacing w:before="260" w:after="140"/>
      </w:pPr>
      <w:r>
        <w:rPr>
          <w:b/>
          <w:bCs/>
          <w:color w:val="A6236E"/>
          <w:sz w:val="26"/>
          <w:szCs w:val="26"/>
        </w:rPr>
        <w:t xml:space="preserve">4.2 Progetti di legge e proposte in fase di elaborazione</w:t>
      </w:r>
    </w:p>
    <w:p>
      <w:pPr>
        <w:spacing w:after="160" w:line="300"/>
      </w:pPr>
      <w:r>
        <w:rPr>
          <w:b/>
          <w:bCs/>
          <w:color w:val="1F3A5C"/>
          <w:sz w:val="21"/>
          <w:szCs w:val="21"/>
        </w:rPr>
        <w:t xml:space="preserve">Direttiva sull’acqua potabile (2020/2184). </w:t>
      </w:r>
      <w:r>
        <w:rPr>
          <w:color w:val="333333"/>
          <w:sz w:val="21"/>
          <w:szCs w:val="21"/>
        </w:rPr>
        <w:t xml:space="preserve">Adottata nel dicembre 2020 in risposta all’iniziativa dei cittadini europei «Right2Water» e recepita dagli Stati membri entro gennaio 2023, la direttiva impone metodi armonizzati per il monitoraggio delle microplastiche nell’acqua del rubinetto. Il 16 maggio 2024 la Commissione ha notificato una decisione delegata che stabilisce una metodologia armonizzata per la misurazione delle microplastiche nell’acqua destinata al consumo umano, al fine di includere le microplastiche nella «lista di controllo» ufficiale della direttiva (articolo 13). Ai sensi dell’articolo 19, la Commissione deve presentare al Parlamento e al Consiglio, entro il 12 gennaio 2029, una relazione sui potenziali rischi per la salute derivanti dalle microplastiche e da altri contaminanti emergenti presenti nelle fonti di acqua potabile.</w:t>
      </w:r>
    </w:p>
    <w:p>
      <w:pPr>
        <w:spacing w:after="160" w:line="300"/>
      </w:pPr>
      <w:r>
        <w:rPr>
          <w:b/>
          <w:bCs/>
          <w:color w:val="1F3A5C"/>
          <w:sz w:val="21"/>
          <w:szCs w:val="21"/>
        </w:rPr>
        <w:t xml:space="preserve">Regolamento sulla perdita di granuli </w:t>
      </w:r>
      <w:r>
        <w:rPr>
          <w:color w:val="333333"/>
          <w:sz w:val="21"/>
          <w:szCs w:val="21"/>
        </w:rPr>
        <w:t xml:space="preserve">di plastica</w:t>
      </w:r>
      <w:r>
        <w:rPr>
          <w:b/>
          <w:bCs/>
          <w:color w:val="1F3A5C"/>
          <w:sz w:val="21"/>
          <w:szCs w:val="21"/>
        </w:rPr>
        <w:t xml:space="preserve">. </w:t>
      </w:r>
      <w:r>
        <w:rPr>
          <w:color w:val="333333"/>
          <w:sz w:val="21"/>
          <w:szCs w:val="21"/>
        </w:rPr>
        <w:t xml:space="preserve">Presentato il 16 ottobre 2023, il regolamento mira a contrastare la perdita di granuli di plastica — stimata tra 52.000 e 184.000 tonnellate all’anno — attraverso misure obbligatorie di prevenzione delle perdite lungo tutta la catena di approvvigionamento, combinando una misurazione standardizzata delle perdite con requisiti obbligatori di prevenzione e norme più flessibili per le microimprese e le piccole imprese. La misura mira a una riduzione delle perdite di granuli compresa tra il 60 e l’83%, con costi di conformità annuali stimati per le imprese tra 376 e 491 milioni di euro, compensati dai risparmi sui costi di bonifica e dai benefici per il turismo e la pesca.</w:t>
      </w:r>
    </w:p>
    <w:p>
      <w:pPr>
        <w:spacing w:after="160" w:line="300"/>
      </w:pPr>
      <w:r>
        <w:rPr>
          <w:b/>
          <w:bCs/>
          <w:color w:val="1F3A5C"/>
          <w:sz w:val="21"/>
          <w:szCs w:val="21"/>
        </w:rPr>
        <w:t xml:space="preserve">Il Trattato globale sulla plastica. </w:t>
      </w:r>
      <w:r>
        <w:rPr>
          <w:color w:val="333333"/>
          <w:sz w:val="21"/>
          <w:szCs w:val="21"/>
        </w:rPr>
        <w:t xml:space="preserve">Oggetto di negoziati tra 175 paesi a partire dall’Assemblea delle Nazioni Unite per l’Ambiente del marzo 2022, questo trattato mira a istituire uno strumento giuridicamente vincolante a livello internazionale in materia di inquinamento da plastica, anche nell’ambiente marino. La posizione dell’UE è che le microplastiche aggiunte intenzionalmente dovrebbero essere vietate in modo assoluto, dato il loro ruolo di vettori di inquinanti tossici e il loro impatto sulla vita marina, sulla salute umana e sulla biodiversità.</w:t>
      </w:r>
    </w:p>
    <w:p>
      <w:pPr>
        <w:pStyle w:val="Heading2"/>
        <w:spacing w:before="260" w:after="140"/>
      </w:pPr>
      <w:r>
        <w:rPr>
          <w:b/>
          <w:bCs/>
          <w:color w:val="A6236E"/>
          <w:sz w:val="26"/>
          <w:szCs w:val="26"/>
        </w:rPr>
        <w:t xml:space="preserve">4.3 Lacune nella legislazione attuale</w:t>
      </w:r>
    </w:p>
    <w:p>
      <w:pPr>
        <w:spacing w:after="160" w:line="300"/>
      </w:pPr>
      <w:r>
        <w:rPr>
          <w:color w:val="333333"/>
          <w:sz w:val="21"/>
          <w:szCs w:val="21"/>
        </w:rPr>
        <w:t xml:space="preserve">Nonostante questi progressi, permangono lacune significative. I metodi di rilevamento delle particelle inferiori a 300 micron sono incoerenti, ostacolando il monitoraggio e la definizione delle soglie ai sensi della Direttiva quadro sulla strategia marina (MSFD); il rischio di contaminazione e la mancanza di protocolli standardizzati aggravano la difficoltà di misurare le particelle al di sotto di tale dimensione, mentre il monitoraggio delle microplastiche nei sedimenti e sulle spiagge — serbatoi a lungo termine dell’inquinamento — rimane limitato, e l’eterogeneità spaziale e temporale complica l’analisi delle tendenze (Galgani et al., 2024).</w:t>
      </w:r>
    </w:p>
    <w:p>
      <w:pPr>
        <w:spacing w:after="160" w:line="300"/>
      </w:pPr>
      <w:r>
        <w:rPr>
          <w:color w:val="333333"/>
          <w:sz w:val="21"/>
          <w:szCs w:val="21"/>
        </w:rPr>
        <w:t xml:space="preserve">L’esenzione prevista dal regolamento FPR per i fertilizzanti a rilascio controllato e il suo affidamento all’autocontrollo del settore creano rischi di conformità disomogenea; la sua attenzione alle plastiche macroscopiche (≥2 mm) trascura inoltre le particelle più piccole che potrebbero comunque comportare rischi ecologici. Il divieto previsto dal regolamento REACH prevede lunghi periodi di transizione (fino al 2035 per alcuni cosmetici) ed esenzioni per i polimeri solubili o biodegradabili. La direttiva SUPD, pur essendo efficace sulle macroplastiche, non affronta esplicitamente la frammentazione in microplastiche secondarie. Il regolamento sulla restrizione delle microplastiche esclude i polimeri liquidi e naturali, che possono comunque contribuire all’inquinamento, e le sue scadenze graduali — sebbene pragmatiche per l’adeguamento dell’industria — prolungano l’esposizione ambientale.</w:t>
      </w:r>
    </w:p>
    <w:p>
      <w:pPr>
        <w:spacing w:after="160" w:line="300"/>
      </w:pPr>
      <w:r>
        <w:rPr>
          <w:color w:val="333333"/>
          <w:sz w:val="21"/>
          <w:szCs w:val="21"/>
        </w:rPr>
        <w:t xml:space="preserve">Il regolamento sugli imballaggi e sui rifiuti di imballaggio, pur costituendo un utile precedente, lascia il riciclaggio meccanico come fonte persistente di rifiuti microplastici, e il suo requisito minimo di contenuto riciclato (limitato al 35% per gli imballaggi in plastica) fa sì che la grande maggioranza degli imballaggi in plastica continui a essere prodotta con plastica vergine — sottolineando la necessità che il PPWR sia utilizzato come leva per una transizione più profonda verso l’abbandono della plastica negli imballaggi.</w:t>
      </w:r>
    </w:p>
    <w:p>
      <w:pPr>
        <w:spacing w:after="160" w:line="300"/>
      </w:pPr>
      <w:r>
        <w:rPr>
          <w:color w:val="333333"/>
          <w:sz w:val="21"/>
          <w:szCs w:val="21"/>
        </w:rPr>
        <w:t xml:space="preserve">L’applicazione della normativa negli Stati membri è disomogenea e la raccolta dei dati manca di armonizzazione, compromettendo la coerenza delle politiche. Nel complesso, il panorama legislativo dell’UE dimostra chiara ambizione e progressi, ma soffre di frammentazione, ritardi nelle scadenze e lacune. Sono necessari una maggiore armonizzazione, periodi di transizione più brevi e disposizioni esplicite per le microplastiche secondarie. Un prossimo passo fondamentale sarà rendere operativo il monitoraggio, garantire un’applicazione rigorosa e integrare i controlli sulle microplastiche negli obiettivi più ampi dell’economia circolare e dell’inquinamento zero.</w:t>
      </w:r>
    </w:p>
    <w:p>
      <w:pPr>
        <w:pStyle w:val="Heading1"/>
        <w:pBdr>
          <w:bottom w:val="single" w:color="1F3A5C" w:sz="6" w:space="4"/>
        </w:pBdr>
        <w:spacing w:before="360" w:after="180"/>
      </w:pPr>
      <w:r>
        <w:rPr>
          <w:b/>
          <w:bCs/>
          <w:color w:val="1F3A5C"/>
          <w:sz w:val="32"/>
          <w:szCs w:val="32"/>
        </w:rPr>
        <w:t xml:space="preserve">5. Orientamenti politici della Commissione europea per il periodo 2024–2029</w:t>
      </w:r>
    </w:p>
    <w:p>
      <w:pPr>
        <w:spacing w:after="160" w:line="300"/>
      </w:pPr>
      <w:r>
        <w:rPr>
          <w:color w:val="333333"/>
          <w:sz w:val="21"/>
          <w:szCs w:val="21"/>
        </w:rPr>
        <w:t xml:space="preserve">L’orientamento strategico della Commissione europea per il periodo 2024–2029 inserisce la riduzione delle microplastiche in un quadro più ampio di obiettivi ambientali, economici e sanitari, anche se non viene affrontata come priorità a sé stante. Le microplastiche sono considerate parte integrante del Green Deal della Commissione, dell’economia circolare e dell’agenda sulla «qualità della vita», collegando la prevenzione dell’inquinamento alla salute umana, alla resilienza degli ecosistemi e alla competitività. Gli orientamenti forniscono un mandato politico per tradurre le evidenze scientifiche in azioni sistemiche — in particolare attraverso quattro quadri di riferimento di punta: l’atto sull’economia circolare, il piano d’azione per l’industria chimica, la strategia europea per la resilienza idrica e la strategia per la bioeconomia.</w:t>
      </w:r>
    </w:p>
    <w:p>
      <w:pPr>
        <w:pStyle w:val="Heading2"/>
        <w:spacing w:before="260" w:after="140"/>
      </w:pPr>
      <w:r>
        <w:rPr>
          <w:b/>
          <w:bCs/>
          <w:color w:val="A6236E"/>
          <w:sz w:val="26"/>
          <w:szCs w:val="26"/>
        </w:rPr>
        <w:t xml:space="preserve">5.1 Priorità chiave</w:t>
      </w:r>
    </w:p>
    <w:p>
      <w:pPr>
        <w:spacing w:after="160" w:line="300"/>
      </w:pPr>
      <w:r>
        <w:rPr>
          <w:b/>
          <w:bCs/>
          <w:color w:val="1F3A5C"/>
          <w:sz w:val="21"/>
          <w:szCs w:val="21"/>
        </w:rPr>
        <w:t xml:space="preserve">Legge sull’economia circolare. </w:t>
      </w:r>
      <w:r>
        <w:rPr>
          <w:color w:val="333333"/>
          <w:sz w:val="21"/>
          <w:szCs w:val="21"/>
        </w:rPr>
        <w:t xml:space="preserve">Prevista per il 2026, questa iniziativa fondamentale mira a ridurre i rifiuti, promuovere l’efficienza delle risorse e riprogettare i prodotti in un’ottica di durata, riciclabilità e uso sicuro dei materiali. Per quanto riguarda le microplastiche, essa crea un quadro legislativo per affrontare sia le emissioni primarie che quelle secondarie già in fase di progettazione, con misure previste che includono la raccolta differenziata obbligatoria, criteri di progettazione ecocompatibile più rigorosi e requisiti relativi al contenuto riciclato — probabilmente in linea con i sistemi di responsabilità estesa del produttore per garantire che chi inquina finanzi alternative prive di microplastiche.</w:t>
      </w:r>
    </w:p>
    <w:p>
      <w:pPr>
        <w:spacing w:after="160" w:line="300"/>
      </w:pPr>
      <w:r>
        <w:rPr>
          <w:b/>
          <w:bCs/>
          <w:color w:val="1F3A5C"/>
          <w:sz w:val="21"/>
          <w:szCs w:val="21"/>
        </w:rPr>
        <w:t xml:space="preserve">Piano d’azione per l’industria chimica. </w:t>
      </w:r>
      <w:r>
        <w:rPr>
          <w:color w:val="333333"/>
          <w:sz w:val="21"/>
          <w:szCs w:val="21"/>
        </w:rPr>
        <w:t xml:space="preserve">Questo piano integra la legge sull’economia circolare puntando sull’innovazione e sulla resilienza in un settore che deve affrontare la concorrenza globale e le pressioni della transizione verde. Un’Alleanza per le sostanze chimiche critiche, istituita con gli Stati membri e le parti interessate, identificherà i siti di produzione critici che necessitano di sostegno politico, affronterà le dipendenze della catena di approvvigionamento e allineerà le priorità di investimento — anche attraverso i Progetti importanti di interesse comune europeo (IPCEI) — per potenziare la ricerca e la capacità produttiva di materiali puliti e privi di microplastiche.</w:t>
      </w:r>
    </w:p>
    <w:p>
      <w:pPr>
        <w:spacing w:after="160" w:line="300"/>
      </w:pPr>
      <w:r>
        <w:rPr>
          <w:b/>
          <w:bCs/>
          <w:color w:val="1F3A5C"/>
          <w:sz w:val="21"/>
          <w:szCs w:val="21"/>
        </w:rPr>
        <w:t xml:space="preserve">Strategia europea per la resilienza idrica. </w:t>
      </w:r>
      <w:r>
        <w:rPr>
          <w:color w:val="333333"/>
          <w:sz w:val="21"/>
          <w:szCs w:val="21"/>
        </w:rPr>
        <w:t xml:space="preserve">Questa strategia collega direttamente le microplastiche ai PFAS e ad altri inquinanti, riconoscendone il ruolo nel deterioramento della qualità dell’acqua e nella minaccia alla salute. Le sue azioni faro sono volte a ripristinare i cicli idrici naturali limitando alla fonte gli inquinanti quali le microplastiche, a garantire l’accesso universale ad acqua potabile pulita e a prezzi accessibili e ad assicurare un monitoraggio rigoroso lungo tutta la catena di approvvigionamento, in integrazione con le revisioni della direttiva quadro sulla strategia marina e della direttiva sull’acqua potabile. [Si veda la nota editoriale riportata di seguito riguardo alla denominazione precisa dello strumento relativo all’acqua attualmente in fase di revisione.]</w:t>
      </w:r>
    </w:p>
    <w:p>
      <w:pPr>
        <w:spacing w:after="160" w:line="300"/>
      </w:pPr>
      <w:r>
        <w:rPr>
          <w:b/>
          <w:bCs/>
          <w:color w:val="1F3A5C"/>
          <w:sz w:val="21"/>
          <w:szCs w:val="21"/>
        </w:rPr>
        <w:t xml:space="preserve">Strategia </w:t>
      </w:r>
      <w:r>
        <w:rPr>
          <w:color w:val="333333"/>
          <w:sz w:val="21"/>
          <w:szCs w:val="21"/>
        </w:rPr>
        <w:t xml:space="preserve">per</w:t>
      </w:r>
      <w:r>
        <w:rPr>
          <w:b/>
          <w:bCs/>
          <w:color w:val="1F3A5C"/>
          <w:sz w:val="21"/>
          <w:szCs w:val="21"/>
        </w:rPr>
        <w:t xml:space="preserve"> la bioeconomia. </w:t>
      </w:r>
      <w:r>
        <w:rPr>
          <w:color w:val="333333"/>
          <w:sz w:val="21"/>
          <w:szCs w:val="21"/>
        </w:rPr>
        <w:t xml:space="preserve">Promuovendo alternative a base biologica, biodegradabili e non tossiche alle materie plastiche di origine fossile, la Strategia per la bioeconomia sostiene l’eliminazione graduale delle materie plastiche persistenti nei settori dell’imballaggio, dei tessili e dell’agricoltura, in linea con gli obiettivi di sviluppo rurale, innovazione biotecnologica e neutralità climatica. Le consultazioni con le parti interessate e i workshop mirati stanno definendo in che modo la strategia possa garantire catene del valore prive di microplastiche, sostenendo al contempo le economie rurali e la leadership globale nei materiali a base biologica.</w:t>
      </w:r>
    </w:p>
    <w:p>
      <w:pPr>
        <w:pStyle w:val="Heading2"/>
        <w:spacing w:before="260" w:after="140"/>
      </w:pPr>
      <w:r>
        <w:rPr>
          <w:b/>
          <w:bCs/>
          <w:color w:val="A6236E"/>
          <w:sz w:val="26"/>
          <w:szCs w:val="26"/>
        </w:rPr>
        <w:t xml:space="preserve">5.2 Finanziamenti e iniziative di ricerca</w:t>
      </w:r>
    </w:p>
    <w:p>
      <w:pPr>
        <w:spacing w:after="160" w:line="300"/>
      </w:pPr>
      <w:r>
        <w:rPr>
          <w:color w:val="333333"/>
          <w:sz w:val="21"/>
          <w:szCs w:val="21"/>
        </w:rPr>
        <w:t xml:space="preserve">Comprendere e affrontare gli impatti sulla salute dell’inquinamento da microplastiche richiede un programma di ricerca solido e coordinato in tutta l’UE. Attraverso «Orizzonte Europa» e i quadri complementari degli Stati membri, l’UE sta investendo in iniziative scientifiche che esplorano le vie di esposizione alle microplastiche, gli effetti tossicologici e gli impatti a livello di ecosistema, rafforzando al contempo l’armonizzazione dei dati e la cooperazione transfrontaliera. [Questa sezione è stata notevolmente ampliata rispetto al rapporto di accompagnamento; il briefing originale faceva riferimento ai finanziamenti di «Orizzonte Europa» solo in termini generali.]</w:t>
      </w:r>
    </w:p>
    <w:p>
      <w:pPr>
        <w:spacing w:after="160" w:line="300"/>
      </w:pPr>
      <w:r>
        <w:rPr>
          <w:b/>
          <w:bCs/>
          <w:color w:val="1F3A5C"/>
          <w:sz w:val="21"/>
          <w:szCs w:val="21"/>
        </w:rPr>
        <w:t xml:space="preserve">Progetti di «Orizzonte Europa» sulle microplastiche e la salute. </w:t>
      </w:r>
      <w:r>
        <w:rPr>
          <w:color w:val="333333"/>
          <w:sz w:val="21"/>
          <w:szCs w:val="21"/>
        </w:rPr>
        <w:t xml:space="preserve">Tra le iniziative in corso di rilievo figura «PlastHealth», che studia il trasferimento e gli effetti dell’esposizione alle microplastiche a livello di ecosistema utilizzando esperimenti in mesocosmo su specie modello (cozze, pesci, crostacei), integrando analisi biochimiche, istopatologiche e del microbioma per identificare biomarcatori di tossicità e di disturbo dell’ecosistema. I bandi di Horizon nell’ambito del tema del 2025 «Verso una valutazione completa dell’inquinamento da rifiuti acquatici» si concentrano sul colmare le lacune nei dati tra i comparti fluviali, d’acqua dolce, costieri e marini, sulla standardizzazione dei protocolli analitici, sul miglioramento del campionamento autonomo e sull’integrazione dei dati in piattaforme conformi ai principi FAIR, quali EMODnet e l’European Data Twin of the Ocean. Questi progetti sono sostenuti da un crescente ricorso alla scienza dei cittadini e a infrastrutture di dati aperte e partecipative, in linea con le più ampie ambizioni dell’UE per un’Unione europea dei dati.</w:t>
      </w:r>
    </w:p>
    <w:p>
      <w:pPr>
        <w:spacing w:after="160" w:line="300"/>
      </w:pPr>
      <w:r>
        <w:rPr>
          <w:b/>
          <w:bCs/>
          <w:color w:val="1F3A5C"/>
          <w:sz w:val="21"/>
          <w:szCs w:val="21"/>
        </w:rPr>
        <w:t xml:space="preserve">Quadro di collaborazione tra gli Stati membri. </w:t>
      </w:r>
      <w:r>
        <w:rPr>
          <w:color w:val="333333"/>
          <w:sz w:val="21"/>
          <w:szCs w:val="21"/>
        </w:rPr>
        <w:t xml:space="preserve">Questo quadro è concepito per allineare le infrastrutture di ricerca nazionali — reti di monitoraggio ambientale, sistemi di sorveglianza sanitaria e flussi di finanziamento per la ricerca e lo sviluppo — al fine di consentire studi pilota transfrontalieri, la condivisione dei dati, la standardizzazione dei materiali di riferimento e l’interoperabilità delle metodologie analitiche tra i laboratori nazionali. Il cofinanziamento previsto è consistente: l’Iniziativa «Oceani puliti», pur non essendo uno strumento di bilancio dell’UE, ha già mobilitato 4 miliardi di euro per progetti relativi alle macro e microplastiche nel Sud del mondo, mentre le banche di sviluppo hanno fissato un obiettivo congiunto di 3 miliardi di euro per il periodo 2026–2030 per contrastare l’inquinamento da plastica negli oceani.</w:t>
      </w:r>
    </w:p>
    <w:p>
      <w:pPr>
        <w:pStyle w:val="Heading2"/>
        <w:spacing w:before="260" w:after="140"/>
      </w:pPr>
      <w:r>
        <w:rPr>
          <w:b/>
          <w:bCs/>
          <w:color w:val="A6236E"/>
          <w:sz w:val="26"/>
          <w:szCs w:val="26"/>
        </w:rPr>
        <w:t xml:space="preserve">5.3 Obblighi di monitoraggio e rendicontazione</w:t>
      </w:r>
    </w:p>
    <w:p>
      <w:pPr>
        <w:spacing w:after="160" w:line="300"/>
      </w:pPr>
      <w:r>
        <w:rPr>
          <w:color w:val="333333"/>
          <w:sz w:val="21"/>
          <w:szCs w:val="21"/>
        </w:rPr>
        <w:t xml:space="preserve">Gli obblighi di monitoraggio e rendicontazione sono alla base dell’intero pacchetto di linee guida. Entro il 2029, la Commissione renderà operativa una raccolta dati armonizzata a livello dell’UE, integrando le microplastiche nelle direttive sulle acque, sulle acque reflue e sulle acque di balneazione. Ciò affronta l’attuale frammentazione: gli standard di monitoraggio variano notevolmente tra gli Stati membri e gli ecosistemi nell’ambito della direttiva quadro sulle acque (MSFD), e i dati relativi alle acque dolci e ai laghi rimangono particolarmente frammentari. La Commissione sostiene la standardizzazione nell’ambito del Quadro di monitoraggio e prospettiva «Zero Pollution», che prevede nuove liste di controllo nell’ambito della direttiva quadro sulle acque e della direttiva sulle acque di balneazione, nelle quali le microplastiche saranno inserite come inquinanti prioritari insieme ai PFAS e ai microinquinanti derivanti dai prodotti per la cura personale.</w:t>
      </w:r>
    </w:p>
    <w:p>
      <w:pPr>
        <w:pStyle w:val="ListParagraph"/>
        <w:numPr>
          <w:ilvl w:val="0"/>
          <w:numId w:val="2"/>
        </w:numPr>
        <w:spacing w:after="120" w:line="280"/>
      </w:pPr>
      <w:r>
        <w:rPr>
          <w:color w:val="333333"/>
          <w:sz w:val="21"/>
          <w:szCs w:val="21"/>
        </w:rPr>
        <w:t xml:space="preserve">Monitoraggio regolare delle microplastiche nell’acqua potabile, supportato da revisioni provvisorie della direttiva sull’acqua potabile che impongono alle autorità nazionali di fissare soglie di rilevamento, criteri di segnalazione e piani di bonifica.</w:t>
      </w:r>
    </w:p>
    <w:p>
      <w:pPr>
        <w:pStyle w:val="ListParagraph"/>
        <w:numPr>
          <w:ilvl w:val="0"/>
          <w:numId w:val="2"/>
        </w:numPr>
        <w:spacing w:after="120" w:line="280"/>
      </w:pPr>
      <w:r>
        <w:rPr>
          <w:color w:val="333333"/>
          <w:sz w:val="21"/>
          <w:szCs w:val="21"/>
        </w:rPr>
        <w:t xml:space="preserve">Miglioramento della rendicontazione sul trattamento delle acque reflue: entro il 2035, i comuni con più di 1.000 abitanti dovranno rimuovere la materia organica (estendendo tale obbligo alla rimozione di azoto e fosforo entro il 2045), con nuove misure per rilevare e quantificare le microplastiche e i micropolluenti durante il trattamento. Queste norme sono legate ai sistemi di responsabilità estesa del produttore che impongono alle aziende cosmetiche e farmaceutiche di coprire circa l’80% dei costi di potenziamento del trattamento.</w:t>
      </w:r>
    </w:p>
    <w:p>
      <w:pPr>
        <w:pStyle w:val="ListParagraph"/>
        <w:numPr>
          <w:ilvl w:val="0"/>
          <w:numId w:val="2"/>
        </w:numPr>
        <w:spacing w:after="120" w:line="280"/>
      </w:pPr>
      <w:r>
        <w:rPr>
          <w:color w:val="333333"/>
          <w:sz w:val="21"/>
          <w:szCs w:val="21"/>
        </w:rPr>
        <w:t xml:space="preserve">Indicatori di prestazione e monitoraggio digitale, compresi i requisiti di interoperabilità per le banche dati ambientali collegate a EMODnet, ai principi dell’UE in materia di dati aperti e al Portale dei dati dell’UE, che consentono cicli di rendicontazione armonizzati e confronti tra gli Stati membri.</w:t>
      </w:r>
    </w:p>
    <w:p>
      <w:pPr>
        <w:spacing w:after="160" w:line="300"/>
      </w:pPr>
      <w:r>
        <w:rPr>
          <w:color w:val="333333"/>
          <w:sz w:val="21"/>
          <w:szCs w:val="21"/>
        </w:rPr>
        <w:t xml:space="preserve">Questi obblighi rafforzati mirano a colmare le attuali lacune conoscitive, a facilitare l’applicazione delle normative in continua evoluzione in materia di plastica e sostanze chimiche e a sostenere in modo sostanziale la capacità di valutazione dei rischi presso le agenzie europee di sanità pubblica, consentendo a ricercatori, ONG e responsabili politici di valutare i progressi compiuti verso il raggiungimento degli obiettivi di riduzione delle microplastiche.</w:t>
      </w:r>
    </w:p>
    <w:p>
      <w:pPr>
        <w:spacing w:after="160" w:line="300"/>
      </w:pPr>
      <w:r>
        <w:rPr>
          <w:color w:val="333333"/>
          <w:sz w:val="21"/>
          <w:szCs w:val="21"/>
        </w:rPr>
        <w:t xml:space="preserve">Nel complesso, gli orientamenti politici per il periodo 2024–2029 offrono un quadro coerente in cui la prevenzione delle microplastiche è integrata in modo indiretto ma forte. Allineando la politica industriale, la resilienza idrica e lo sviluppo della bioeconomia a un monitoraggio armonizzato, la Commissione sta ponendo le basi per un’azione giuridicamente vincolante e guidata dall’innovazione. La sfida per i responsabili politici sarà quella di garantire che questi orientamenti si traducano in norme vincolanti, tempistiche accelerate e finanziamenti adeguati, in modo che l’inquinamento da microplastiche venga ridotto alla fonte anziché essere semplicemente gestito a valle.</w:t>
      </w:r>
    </w:p>
    <w:p>
      <w:pPr>
        <w:pStyle w:val="Heading1"/>
        <w:pBdr>
          <w:bottom w:val="single" w:color="1F3A5C" w:sz="6" w:space="4"/>
        </w:pBdr>
        <w:spacing w:before="360" w:after="180"/>
      </w:pPr>
      <w:r>
        <w:rPr>
          <w:b/>
          <w:bCs/>
          <w:color w:val="1F3A5C"/>
          <w:sz w:val="32"/>
          <w:szCs w:val="32"/>
        </w:rPr>
        <w:t xml:space="preserve">6. Stato dell’arte scientifico</w:t>
      </w:r>
    </w:p>
    <w:p>
      <w:pPr>
        <w:spacing w:after="160" w:line="300"/>
      </w:pPr>
      <w:r>
        <w:rPr>
          <w:color w:val="333333"/>
          <w:sz w:val="21"/>
          <w:szCs w:val="21"/>
        </w:rPr>
        <w:t xml:space="preserve">Negli ultimi anni le prove scientifiche hanno registrato rapidi progressi, trasformando le microplastiche da un semplice fastidio percepito a una riconosciuta minaccia globale per la salute e l’ambiente.</w:t>
      </w:r>
    </w:p>
    <w:p>
      <w:pPr>
        <w:pStyle w:val="Heading2"/>
        <w:spacing w:before="260" w:after="140"/>
      </w:pPr>
      <w:r>
        <w:rPr>
          <w:b/>
          <w:bCs/>
          <w:color w:val="A6236E"/>
          <w:sz w:val="26"/>
          <w:szCs w:val="26"/>
        </w:rPr>
        <w:t xml:space="preserve">6.1 Definizioni, fonti e accumulo nella catena alimentare</w:t>
      </w:r>
    </w:p>
    <w:p>
      <w:pPr>
        <w:spacing w:after="160" w:line="300"/>
      </w:pPr>
      <w:r>
        <w:rPr>
          <w:color w:val="333333"/>
          <w:sz w:val="21"/>
          <w:szCs w:val="21"/>
        </w:rPr>
        <w:t xml:space="preserve">Le microplastiche sono definite come particelle solide sintetiche o matrici polimeriche, di forma regolare o irregolare, di dimensioni comprese tra 1 μm e 5 mm, insolubili in acqua (Frias &amp; Nash, 2019); le nanoplastiche hanno dimensioni comprese tra 1 e 1000 nm e mostrano un comportamento colloidale, formandosi attraverso la degradazione ambientale di plastiche di dimensioni maggiori (luce UV, idrolisi, forze meccaniche) o processi industriali (Ter Halle et al., 2016). Le fonti sono sia primarie — prodotte intenzionalmente per cosmetici esfolianti, detergenti industriali, materiali abrasivi e pellet/nurdles utilizzati come materia prima (Song et al., 2024) — sia secondarie, derivanti dalla frammentazione di detriti plastici di dimensioni maggiori (bottiglie, sacchetti, reti da pesca) sotto l’azione dei raggi UV, delle forze meccaniche, dell’azione delle onde e dell’usura (Song et al., 2024).</w:t>
      </w:r>
    </w:p>
    <w:p>
      <w:pPr>
        <w:spacing w:after="160" w:line="300"/>
      </w:pPr>
      <w:r>
        <w:rPr>
          <w:b/>
          <w:bCs/>
          <w:color w:val="1F3A5C"/>
          <w:sz w:val="21"/>
          <w:szCs w:val="21"/>
        </w:rPr>
        <w:t xml:space="preserve">Accumulo nella catena alimentare. </w:t>
      </w:r>
      <w:r>
        <w:rPr>
          <w:color w:val="333333"/>
          <w:sz w:val="21"/>
          <w:szCs w:val="21"/>
        </w:rPr>
        <w:t xml:space="preserve">Le micro e nanoplastiche vengono assorbite dalle piante terrestri, influenzandone la crescita e la biomassa; sono state riscontrate elevate concentrazioni in mele e carote, il che contribuisce all’accumulo nei tessuti umani (Oliveri et al., 2020; Leslie et al., 2022). Nei sistemi acquatici, il trasferimento trofico avviene attraverso le reti alimentari: lo zooplancton ingerisce le MNP e le trasmette ai pesci e ai molluschi consumati dall’uomo, aumentando il rischio di esposizione per i predatori apicali, compreso l’uomo (Cole et al., 2013). [Questa sottosezione è un nuovo contenuto tratto dal rapporto di accompagnamento, non presente nel briefing originale.] La plastica rappresenta una minaccia crescente e sottovalutata per la salute umana e del pianeta in ogni fase del suo ciclo di vita, dall’estrazione delle materie prime allo smaltimento; si prevede che i costi sanitari ed economici globali associati peggiorino, poiché la produzione di plastica quasi triplicherà entro il 2060 se non si interviene con urgenza (Landrigan et al., 2025).</w:t>
      </w:r>
    </w:p>
    <w:p>
      <w:pPr>
        <w:spacing w:after="160" w:line="300"/>
      </w:pPr>
      <w:r>
        <w:rPr>
          <w:color w:val="333333"/>
          <w:sz w:val="21"/>
          <w:szCs w:val="21"/>
        </w:rPr>
        <w:t xml:space="preserve">L’esposizione avviene attraverso tre vie principali. L’ingestione è la via predominante: frutti di mare, acqua potabile, bevande in bottiglia, condimenti, miele, pollo e verdure sono i principali vettori (Sangkham et al., 2022), e il riscaldamento di alimenti o bevande in contenitori di plastica accelera il rilascio di particelle, un rischio particolare per i neonati che consumano latte artificiale da biberon di plastica (Chen et al., 2023; Hu et al., 2023; Shruti et al., 2024). L’inalazione è significativa soprattutto negli ambienti urbani e industrializzati, dove le microplastiche presenti nell’aria penetrano in profondità nei polmoni (le particelle inferiori a 2,5 μm possono raggiungere la regione alveolare, Kelly &amp; Fussell, 2012; Falakdin et al., 2024); particelle sospese nell’aria sono state rilevate anche in remote regioni alpine e polari, a conferma della loro dispersione globale (Kau et al., 2024). L’esposizione cutanea, sebbene meno studiata, avviene tramite cosmetici, prodotti per la cura personale, farmaci topici e mascherine, con prove che le nanoplastiche possano penetrare nelle cellule della pelle (Gamage &amp; Mahagamage, 2024; Martin et al., 2024).</w:t>
      </w:r>
    </w:p>
    <w:p>
      <w:pPr>
        <w:pStyle w:val="Heading2"/>
        <w:spacing w:before="260" w:after="140"/>
      </w:pPr>
      <w:r>
        <w:rPr>
          <w:b/>
          <w:bCs/>
          <w:color w:val="A6236E"/>
          <w:sz w:val="26"/>
          <w:szCs w:val="26"/>
        </w:rPr>
        <w:t xml:space="preserve">6.2 Impatti sulla salute</w:t>
      </w:r>
    </w:p>
    <w:p>
      <w:pPr>
        <w:spacing w:after="160" w:line="300"/>
      </w:pPr>
      <w:r>
        <w:rPr>
          <w:color w:val="333333"/>
          <w:sz w:val="21"/>
          <w:szCs w:val="21"/>
        </w:rPr>
        <w:t xml:space="preserve">Studi di laboratorio e su animali mostrano effetti quali disturbi intestinali, danni cardiovascolari, neurotossicità e danni alla riproduzione. A livello cellulare, le microplastiche inducono infiammazione, stress ossidativo, disfunzione mitocondriale, apoptosi e danni al DNA (Li et al., 2021; Jin et al., 2022; Wang et al., 2023; Zhou et al., 2023; Schirinzi et al., 2017; Poma et al., 2019; Wu et al., 2020).</w:t>
      </w:r>
    </w:p>
    <w:p>
      <w:pPr>
        <w:spacing w:after="160" w:line="300"/>
      </w:pPr>
      <w:r>
        <w:rPr>
          <w:b/>
          <w:bCs/>
          <w:color w:val="1F3A5C"/>
          <w:sz w:val="21"/>
          <w:szCs w:val="21"/>
        </w:rPr>
        <w:t xml:space="preserve">Potenziale cancerogeno. </w:t>
      </w:r>
      <w:r>
        <w:rPr>
          <w:color w:val="333333"/>
          <w:sz w:val="21"/>
          <w:szCs w:val="21"/>
        </w:rPr>
        <w:t xml:space="preserve">Le micro e nanoplastiche possono contribuire allo sviluppo del cancro attraverso diversi meccanismi identificati negli studi preclinici: inducendo un’infiammazione che favorisce la formazione di tumori tramite un aumento della produzione di citochine infiammatorie (Forte et al., 2016; Xu et al., 2022; Shi et al., 2024), favorendo la crescita cellulare indipendente dall’ancoraggio (Barguilla et al., 2022), sopprimendo la sorveglianza immunitaria attraverso una ridotta attività delle cellule NK e una minore polarizzazione dei macrofagi (Hu et al., 2021) e mostrando un potenziale genotossico nelle cellule ematiche umane (Gopinath et al., 2019; Ballesteros et al., 2020). Le MNP alterano la regolazione della proliferazione cellulare e inducono la transizione epiteliale-mesenchimale che aumenta l’invasività delle cellule tumorali (Halimu et al., 2022; Traversa et al., 2024). Sono state osservate concentrazioni elevate nei tessuti del cancro al polmone (Pauly et al., 1998), del cancro colorettale (Cetin et al., 2023) e del cancro alla prostata (Deng et al., 2024), sebbene sia necessario approfondire ulteriormente se ciò rifletta un bioaccumulo o una relazione causale; è stato inoltre riscontrato che le particelle di plastica aumentano la migrazione cellulare e la diffusione metastatica (Brynzak-Schreiber et al., 2024).</w:t>
      </w:r>
    </w:p>
    <w:p>
      <w:pPr>
        <w:spacing w:after="160" w:line="300"/>
      </w:pPr>
      <w:r>
        <w:rPr>
          <w:b/>
          <w:bCs/>
          <w:color w:val="1F3A5C"/>
          <w:sz w:val="21"/>
          <w:szCs w:val="21"/>
        </w:rPr>
        <w:t xml:space="preserve">Teratogenicità dello sviluppo. </w:t>
      </w:r>
      <w:r>
        <w:rPr>
          <w:color w:val="333333"/>
          <w:sz w:val="21"/>
          <w:szCs w:val="21"/>
        </w:rPr>
        <w:t xml:space="preserve">Le nanoplastiche di polistirene mostrano significativi effetti teratogeni quando i genitori vi sono esposti durante i periodi riproduttivi: l’esposizione di entrambi i genitori è stata collegata a malformazioni scheletriche e viscerali, a una ridotta crescita fetale, a riflessi neonatali compromessi e a deficit di apprendimento nella prole adulta, oltre che a alterazioni dei livelli dei neurotrasmettitori, a una ridotta attività degli enzimi antiossidanti e a danni strutturali al cervello (Kaur et al., 2025). [Nuovo materiale tratto dal rapporto di accompagnamento.]</w:t>
      </w:r>
    </w:p>
    <w:p>
      <w:pPr>
        <w:spacing w:after="160" w:line="300"/>
      </w:pPr>
      <w:r>
        <w:rPr>
          <w:b/>
          <w:bCs/>
          <w:color w:val="1F3A5C"/>
          <w:sz w:val="21"/>
          <w:szCs w:val="21"/>
        </w:rPr>
        <w:t xml:space="preserve">Effetti neurologici e cerebrali. </w:t>
      </w:r>
      <w:r>
        <w:rPr>
          <w:color w:val="333333"/>
          <w:sz w:val="21"/>
          <w:szCs w:val="21"/>
        </w:rPr>
        <w:t xml:space="preserve">Le MNP attraversano la barriera emato-encefalica e si accumulano nel cervello, dove possono indurre neuroinfiammazione, apoptosi e danni neuronali, contribuendo potenzialmente a malattie neurodegenerative come l’Alzheimer e il Parkinson (Kopatz et al., 2023; Yin et al., 2022). La prima ricerca che ha identificato le MNP nel cervello ha rilevato una concentrazione nel bulbo olfattivo, suggerendo che l’inalazione e la via nasale rappresentino la via di accesso predominante (Amato-Lourenço et al., 2024). Le MNP interferiscono con la funzione mitocondriale, la trasmissione sinaptica e il metabolismo cellulare; inoltre, l’infiammazione intestinale indotta dalle MNP può influire negativamente sulla funzione cerebrale attraverso l’asse intestino-cervello (Yang et al., 2023); le particelle più piccole e chimicamente modificate presentano la neurotossicità più elevata (Liu et al., 2022).</w:t>
      </w:r>
    </w:p>
    <w:p>
      <w:pPr>
        <w:spacing w:after="160" w:line="300"/>
      </w:pPr>
      <w:r>
        <w:rPr>
          <w:b/>
          <w:bCs/>
          <w:color w:val="1F3A5C"/>
          <w:sz w:val="21"/>
          <w:szCs w:val="21"/>
        </w:rPr>
        <w:t xml:space="preserve">Salute riproduttiva. </w:t>
      </w:r>
      <w:r>
        <w:rPr>
          <w:color w:val="333333"/>
          <w:sz w:val="21"/>
          <w:szCs w:val="21"/>
        </w:rPr>
        <w:t xml:space="preserve">I dati epidemiologici sull’uomo indicano un calo documentato e in accelerazione del numero di spermatozoi — storicamente circa l’1% all’anno, salito a circa il 2,6% all’anno dal 2000 — insieme a cali comparabili in altre specie esposte alle stesse sostanze chimiche, indipendentemente da eventuali ritardi nella riproduzione (Swan, citato sopra).</w:t>
      </w:r>
    </w:p>
    <w:p>
      <w:pPr>
        <w:spacing w:after="160" w:line="300"/>
      </w:pPr>
      <w:r>
        <w:rPr>
          <w:b/>
          <w:bCs/>
          <w:color w:val="1F3A5C"/>
          <w:sz w:val="21"/>
          <w:szCs w:val="21"/>
        </w:rPr>
        <w:t xml:space="preserve">I bambini. </w:t>
      </w:r>
      <w:r>
        <w:rPr>
          <w:color w:val="333333"/>
          <w:sz w:val="21"/>
          <w:szCs w:val="21"/>
        </w:rPr>
        <w:t xml:space="preserve">I bambini sono particolarmente vulnerabili a causa del loro sviluppo fisiologico ancora in corso e dell’assunzione più elevata rispetto al peso corporeo (Chia et al., 2025). Le microplastiche sono state rilevate nel sangue, nel latte materno, nella placenta e nel tessuto cerebrale e sono state associate a parto pretermine (Chia et al., 2025), disturbi endocrini (Ullah et al., 2023), effetti neurologici e cardiovascolari (Prüst et al., 2020) e alterazioni del sistema immunitario (Morrison et al., 2022). Nei bambini e negli adolescenti, le microplastiche possono causare danni mitocondriali, lesioni epatiche, stress ossidativo renale e infiammazione respiratoria, contribuendo potenzialmente all’asma e alla bronchite (Chia et al., 2025). Uno studio condotto su 1.000 bambini di età compresa tra i 6 e i 9 anni (Dong et al., 2025) ha rilevato un’associazione significativa tra la presenza di microplastiche nelle urine — in particolare poliammide, polipropilene e PVC — e problemi comportamentali, tra cui sintomi emotivi, problemi di condotta, iperattività, difficoltà nelle relazioni con i coetanei e riduzione del comportamento prosociale, suggerendo un potenziale rischio neurocomportamentale derivante dall’esposizione nelle prime fasi di vita. [Nuova sottosezione tratta dal rapporto di accompagnamento, non presente nel briefing originale.]</w:t>
      </w:r>
    </w:p>
    <w:p>
      <w:pPr>
        <w:spacing w:after="160" w:line="300"/>
      </w:pPr>
      <w:r>
        <w:rPr>
          <w:b/>
          <w:bCs/>
          <w:color w:val="1F3A5C"/>
          <w:sz w:val="21"/>
          <w:szCs w:val="21"/>
        </w:rPr>
        <w:t xml:space="preserve">Lisciviazione di additivi chimici. </w:t>
      </w:r>
      <w:r>
        <w:rPr>
          <w:color w:val="333333"/>
          <w:sz w:val="21"/>
          <w:szCs w:val="21"/>
        </w:rPr>
        <w:t xml:space="preserve">Al di là della loro presenza fisica, le microplastiche comportano ulteriori rischi attraverso la lisciviazione degli additivi chimici in esse incorporati. Recenti revisioni esaustive dimostrano che le microplastiche possono rilasciare ritardanti di fiamma, plastificanti e antiossidanti — molti dei quali con effetti di interferenza endocrina, neurotossicità e effetti sulla riproduzione — in particolare dopo l’ingestione, dove gli enzimi digestivi, gli acidi, i grassi e gli oli accelerano la degradazione e la migrazione chimica, sottolineando come le microplastiche rappresentino una via attiva di esposizione chimica piuttosto che particelle inerti.</w:t>
      </w:r>
    </w:p>
    <w:p>
      <w:pPr>
        <w:pStyle w:val="Heading2"/>
        <w:spacing w:before="260" w:after="140"/>
      </w:pPr>
      <w:r>
        <w:rPr>
          <w:b/>
          <w:bCs/>
          <w:color w:val="A6236E"/>
          <w:sz w:val="26"/>
          <w:szCs w:val="26"/>
        </w:rPr>
        <w:t xml:space="preserve">6.3 Interazioni sinergiche con altri inquinanti, virus e batteri</w:t>
      </w:r>
    </w:p>
    <w:p>
      <w:pPr>
        <w:spacing w:after="160" w:line="300"/>
      </w:pPr>
      <w:r>
        <w:rPr>
          <w:color w:val="333333"/>
          <w:sz w:val="21"/>
          <w:szCs w:val="21"/>
        </w:rPr>
        <w:t xml:space="preserve">Le microplastiche non agiscono da sole, ma fungono anche da vettori di altri inquinanti, assorbendo metalli pesanti, inquinanti organici persistenti (POP), pesticidi, ftalati, bisfenoli e PFAS, e creando complessi cocktail tossici.</w:t>
      </w:r>
    </w:p>
    <w:p>
      <w:pPr>
        <w:spacing w:after="160" w:line="300"/>
      </w:pPr>
      <w:r>
        <w:rPr>
          <w:b/>
          <w:bCs/>
          <w:color w:val="1F3A5C"/>
          <w:sz w:val="21"/>
          <w:szCs w:val="21"/>
        </w:rPr>
        <w:t xml:space="preserve">Additivi e metalli pesanti. </w:t>
      </w:r>
      <w:r>
        <w:rPr>
          <w:color w:val="333333"/>
          <w:sz w:val="21"/>
          <w:szCs w:val="21"/>
        </w:rPr>
        <w:t xml:space="preserve">I ritardanti di fiamma bromurati, gli stabilizzatori UV, le diossine, gli ftalati, gli alchilfenoli, il bisfenolo A e i PFAS sono tutte sostanze chimiche associate alla plastica per cui è documentato che hanno effetti di interferenza endocrina, neurotossici o cancerogeni (Weis &amp; Alava, 2023; Wiesinger et al., 2021). Le MNPs fungono da vettori efficienti per i metalli pesanti grazie alle interazioni elettrostatiche e all’elevata superficie specifica; le particelle invecchiate mostrano una maggiore capacità di adsorbimento per mercurio, piombo, cadmio e titanio (Kumar et al., 2021; Patterson et al., 2020); studi di coesposizione evidenziano effetti sinergici in cui le MNP, in combinazione con il cadmio, aumentano significativamente lo stress ossidativo, la neurotossicità e il bioaccumulo dei metalli rispetto alle esposizioni singole (Tuncelli et al., 2024; Tourinho et al., 2023).</w:t>
      </w:r>
    </w:p>
    <w:p>
      <w:pPr>
        <w:spacing w:after="160" w:line="300"/>
      </w:pPr>
      <w:r>
        <w:rPr>
          <w:b/>
          <w:bCs/>
          <w:color w:val="1F3A5C"/>
          <w:sz w:val="21"/>
          <w:szCs w:val="21"/>
        </w:rPr>
        <w:t xml:space="preserve">Inquinanti organici persistenti e pesticidi. </w:t>
      </w:r>
      <w:r>
        <w:rPr>
          <w:color w:val="333333"/>
          <w:sz w:val="21"/>
          <w:szCs w:val="21"/>
        </w:rPr>
        <w:t xml:space="preserve">Le microplastiche adsorbono POP come il DDT e i PCB a concentrazioni fino a sei volte superiori rispetto all’acqua circostante (Tumwesigye et al., 2023; Liu et al., 2021); le microplastiche che trasportano PCB sono state associate a una maggiore incidenza di tumori e anomalie dello sviluppo nelle larve di zebrafish (Hu et al., 2024). Le microplastiche influenzano inoltre in modo significativo il comportamento dei pesticidi, riducendone la biodisponibilità attraverso l’adsorbimento e aumentandone la persistenza, complicando la valutazione complessiva della loro tossicità combinata (Tang, 2025).</w:t>
      </w:r>
    </w:p>
    <w:p>
      <w:pPr>
        <w:spacing w:after="160" w:line="300"/>
      </w:pPr>
      <w:r>
        <w:rPr>
          <w:b/>
          <w:bCs/>
          <w:color w:val="1F3A5C"/>
          <w:sz w:val="21"/>
          <w:szCs w:val="21"/>
        </w:rPr>
        <w:t xml:space="preserve">Resistenza agli antibiotici e batteri. </w:t>
      </w:r>
      <w:r>
        <w:rPr>
          <w:color w:val="333333"/>
          <w:sz w:val="21"/>
          <w:szCs w:val="21"/>
        </w:rPr>
        <w:t xml:space="preserve">Le microplastiche coesistono con gli antibiotici e i geni di resistenza agli antibiotici (ARG) negli ambienti subacquei, fungendo da vettori che ne facilitano il trasporto e la persistenza e favorendo l’arricchimento di generi batterici tolleranti quali Acinetobacter e Pseudomonas (Yashir et al., 2025). È stato dimostrato che le nanoplastiche — in particolare le particelle di polistirene funzionalizzate con gruppi carbossilici — favoriscono in modo significativo la diffusione degli ARG inducendo stress ossidativo attraverso la sovrapproduzione di perossido di idrogeno, che aumenta la permeabilità della membrana batterica, attiva la risposta SOS e facilita l’assorbimento di DNA esogeno (Li et al., 2025).</w:t>
      </w:r>
    </w:p>
    <w:p>
      <w:pPr>
        <w:spacing w:after="160" w:line="300"/>
      </w:pPr>
      <w:r>
        <w:rPr>
          <w:b/>
          <w:bCs/>
          <w:color w:val="1F3A5C"/>
          <w:sz w:val="21"/>
          <w:szCs w:val="21"/>
        </w:rPr>
        <w:t xml:space="preserve">Virus. </w:t>
      </w:r>
      <w:r>
        <w:rPr>
          <w:color w:val="333333"/>
          <w:sz w:val="21"/>
          <w:szCs w:val="21"/>
        </w:rPr>
        <w:t xml:space="preserve">È stato dimostrato che le nanoplastiche di polistirene aggravano le infezioni virali nei pesci compromettendo la funzione delle cellule ospiti e le risposte immunitarie: in uno studio sulle cellule delle pinne del persico trota infettate dal ranavirus del persico trota, le nanoplastiche hanno significativamente favorito la replicazione virale, intensificato le risposte infiammatorie indotte dal virus e soppresso le difese antivirali attraverso la downregolazione della via di segnalazione cGAS–STING (Zhi et al., 2024), suggerendo che le nanoplastiche possano aumentare la suscettibilità dell’ospite alle infezioni virali.</w:t>
      </w:r>
    </w:p>
    <w:p>
      <w:pPr>
        <w:pStyle w:val="Heading2"/>
        <w:spacing w:before="260" w:after="140"/>
      </w:pPr>
      <w:r>
        <w:rPr>
          <w:b/>
          <w:bCs/>
          <w:color w:val="A6236E"/>
          <w:sz w:val="26"/>
          <w:szCs w:val="26"/>
        </w:rPr>
        <w:t xml:space="preserve">6.4 Sfide relative al rilevamento e alla misurazione</w:t>
      </w:r>
    </w:p>
    <w:p>
      <w:pPr>
        <w:spacing w:after="160" w:line="300"/>
      </w:pPr>
      <w:r>
        <w:rPr>
          <w:color w:val="333333"/>
          <w:sz w:val="21"/>
          <w:szCs w:val="21"/>
        </w:rPr>
        <w:t xml:space="preserve">La caratterizzazione delle micro e nanoplastiche comporta flussi di lavoro analitici complessi con notevoli limitazioni. I processi di pretrattamento possono causare la perdita o l’alterazione dei materiali bersaglio, mentre l’identificazione fisica tramite microscopia risente della soggettività dell’osservatore e della risoluzione limitata per le nanoplastiche. L’identificazione chimica mediante spettroscopia vibrazionale (FTIR, Raman) è limitata dalle dimensioni delle particelle e dall’interferenza dell’acqua, mentre la spettrometria di massa fornisce un’analisi sensibile ma richiede la distruzione del campione. Le nanoplastiche presentano sfide uniche a causa dell’aumento del moto browniano, delle dimensioni inferiori alla lunghezza d’onda e della maggiore reattività superficiale. Innovazioni quali micro/nanorobot autopropulsi, pinzette ottiche con rilevamento Raman e imaging iperspettrale potenziato dall’apprendimento automatico offrono percorsi promettenti per il rilevamento in tempo reale e in situ, sebbene siano urgentemente necessari protocolli standardizzati.</w:t>
      </w:r>
    </w:p>
    <w:p>
      <w:pPr>
        <w:pStyle w:val="Heading2"/>
        <w:spacing w:before="260" w:after="140"/>
      </w:pPr>
      <w:r>
        <w:rPr>
          <w:b/>
          <w:bCs/>
          <w:color w:val="A6236E"/>
          <w:sz w:val="26"/>
          <w:szCs w:val="26"/>
        </w:rPr>
        <w:t xml:space="preserve">6.5 Lacune conoscitive</w:t>
      </w:r>
    </w:p>
    <w:p>
      <w:pPr>
        <w:spacing w:after="160" w:line="300"/>
      </w:pPr>
      <w:r>
        <w:rPr>
          <w:color w:val="333333"/>
          <w:sz w:val="21"/>
          <w:szCs w:val="21"/>
        </w:rPr>
        <w:t xml:space="preserve">Permangono gravi lacune conoscitive. La maggior parte degli studi utilizza microsfere di polistirene incontaminate e prodotte in laboratorio, che riflettono in modo inadeguato le microplastiche irregolari e alterate dagli agenti atmosferici presenti negli ambienti reali (Alimi et al., 2022). La ricerca spesso prevede esposizioni a dosi elevate e di breve durata, mentre gli esseri umani sono esposti a livelli bassi e in modo cronico. Mancano ancora valutazioni complete di genotossicità, mutagenicità e cancerogenicità (Rubio et al., 2020).</w:t>
      </w:r>
    </w:p>
    <w:p>
      <w:pPr>
        <w:spacing w:after="160" w:line="300"/>
      </w:pPr>
      <w:r>
        <w:rPr>
          <w:color w:val="333333"/>
          <w:sz w:val="21"/>
          <w:szCs w:val="21"/>
        </w:rPr>
        <w:t xml:space="preserve">In conclusione, lo stato dell’arte non lascia dubbi: le microplastiche e le nanoplastiche sono presenti nel corpo umano, interagiscono in modo sinergico con gli inquinanti tossici e comportano rischi in molteplici ambiti della salute. Sebbene i nessi causali definitivi nell’uomo siano ancora oggetto di indagine, è giustificato il ricorso al principio di precauzione. I responsabili politici dovrebbero considerare le prove scientifiche come un invito a una regolamentazione preventiva, a un monitoraggio armonizzato e a un finanziamento prioritario della ricerca. Più a lungo persistono le lacune nelle conoscenze e nella regolamentazione, maggiore è il rischio di danni irreversibili alla salute umana e agli ecosistemi.</w:t>
      </w:r>
    </w:p>
    <w:p>
      <w:pPr>
        <w:pStyle w:val="Heading1"/>
        <w:pBdr>
          <w:bottom w:val="single" w:color="1F3A5C" w:sz="6" w:space="4"/>
        </w:pBdr>
        <w:spacing w:before="360" w:after="180"/>
      </w:pPr>
      <w:r>
        <w:rPr>
          <w:b/>
          <w:bCs/>
          <w:color w:val="1F3A5C"/>
          <w:sz w:val="32"/>
          <w:szCs w:val="32"/>
        </w:rPr>
        <w:t xml:space="preserve">Nota editoriale sulla riconciliazione delle fonti</w:t>
      </w:r>
    </w:p>
    <w:p>
      <w:pPr>
        <w:pBdr>
          <w:left w:val="single" w:color="5CA331" w:sz="18" w:space="8"/>
        </w:pBdr>
        <w:shd w:val="clear" w:fill="F2F2F2"/>
        <w:spacing w:after="160" w:line="280"/>
        <w:ind w:start="200"/>
      </w:pPr>
      <w:r>
        <w:rPr>
          <w:i/>
          <w:iCs/>
          <w:color w:val="555555"/>
          <w:sz w:val="20"/>
          <w:szCs w:val="20"/>
        </w:rPr>
        <w:t xml:space="preserve">La presente edizione integrata unisce il Policy Briefing del febbraio 2026 con materiale aggiuntivo redatto per il rapporto di accompagnamento. In tale contesto, un punto fattuale richiede verifica prima della diffusione esterna: il Briefing faceva riferimento a una revisione del 2027 della «Direttiva quadro sulle acque» nell’ambito della Strategia per la resilienza idrica, mentre la bozza del rapporto faceva riferimento alla «Direttiva sulle acque marine» — che non è il nome ufficiale di alcuno strumento giuridico dell’UE. L’attuale azione della Commissione comprende (a) una revisione mirata della stessa Direttiva quadro sulle acque, avviata tramite un invito a presentare prove nel marzo 2026, e (b) una revisione separata della Direttiva quadro sulla strategia marina annunciata nella comunicazione sulla Strategia per la resilienza idrica del giugno 2025 (COM(2025) 280). Raccomandiamo di confermare quale strumento si intenda prima di finalizzare il presente testo e di utilizzare la denominazione ufficiale esatta.</w:t>
      </w:r>
    </w:p>
    <w:p>
      <w:pPr>
        <w:pBdr>
          <w:left w:val="single" w:color="5CA331" w:sz="18" w:space="8"/>
        </w:pBdr>
        <w:shd w:val="clear" w:fill="F2F2F2"/>
        <w:spacing w:after="160" w:line="280"/>
        <w:ind w:start="200"/>
      </w:pPr>
      <w:r>
        <w:rPr>
          <w:i/>
          <w:iCs/>
          <w:color w:val="555555"/>
          <w:sz w:val="20"/>
          <w:szCs w:val="20"/>
        </w:rPr>
        <w:t xml:space="preserve">Sono stati inoltre armonizzati due punti minori: nella versione della bozza di relazione della citazione di Patricia Hunt era stata aggiunta la parentesi «(facendolo)» dopo «lo stanno già facendo», che non compare nella trascrizione originale del Briefing; questa edizione mantiene la formulazione del Briefing. La discussione sulla fertilità contenuta nella bozza della relazione (a seguito della citazione di Shanna Swan) terminava con una frase incompleta («Sono state rinvenute micro-nanoplastiche in...»); tale frase è stata omessa in questa sede in attesa di completamento.</w:t>
      </w:r>
    </w:p>
    <w:p>
      <w:pPr>
        <w:pStyle w:val="Heading1"/>
        <w:pBdr>
          <w:bottom w:val="single" w:color="1F3A5C" w:sz="6" w:space="4"/>
        </w:pBdr>
        <w:spacing w:before="360" w:after="180"/>
      </w:pPr>
      <w:r>
        <w:rPr>
          <w:b/>
          <w:bCs/>
          <w:color w:val="1F3A5C"/>
          <w:sz w:val="32"/>
          <w:szCs w:val="32"/>
        </w:rPr>
        <w:t xml:space="preserve">Ringraziamenti</w:t>
      </w:r>
    </w:p>
    <w:p>
      <w:pPr>
        <w:spacing w:after="160" w:line="300"/>
      </w:pPr>
      <w:r>
        <w:rPr>
          <w:i/>
          <w:iCs/>
          <w:color w:val="333333"/>
          <w:sz w:val="21"/>
          <w:szCs w:val="21"/>
        </w:rPr>
        <w:t xml:space="preserve">Un ringraziamento speciale ad Alessandro Fazzi, Roberto Ferrigno e Alessandra Conti per il loro contributo al presente Briefing e al relativo Rapporto.</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04" w:hanging="288"/>
      </w:pPr>
    </w:lvl>
    <w:lvl w:ilvl="1" w15:tentative="1">
      <w:start w:val="1"/>
      <w:numFmt w:val="bullet"/>
      <w:lvlText w:val="○"/>
      <w:lvlJc w:val="left"/>
      <w:pPr>
        <w:ind w:left="1008" w:hanging="288"/>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ccfc91dd752b5c4da8e4cf2872f89fd64dd3e792.jpg"/><Relationship Id="rId8" Type="http://schemas.openxmlformats.org/officeDocument/2006/relationships/image" Target="media/fff2ac4110392b62324a8646929a338007c30276.pn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oreProperties xmlns:dc="http://purl.org/dc/elements/1.1/" xmlns:dcterms="http://purl.org/dc/terms/" xmlns:xsi="http://www.w3.org/2001/XMLSchema-instance" xmlns="http://schemas.openxmlformats.org/package/2006/metadata/core-properties">
  <dc:creator>Un-named</dc:creator>
  <lastModifiedBy>Un-named</lastModifiedBy>
  <revision>1</revision>
  <dcterms:created xsi:type="dcterms:W3CDTF">2026-07-15T14:54:32.4400000Z</dcterms:created>
  <dcterms:modified xsi:type="dcterms:W3CDTF">2026-07-15T14:54:32.4520000Z</dcterms:modified>
  <keywords>, docId:E2C6530BF7752E1408D975475CB443E4</keywords>
</coreProperties>
</file>

<file path=docProps/custom.xml><?xml version="1.0" encoding="utf-8"?>
<Properties xmlns="http://schemas.openxmlformats.org/officeDocument/2006/custom-properties" xmlns:vt="http://schemas.openxmlformats.org/officeDocument/2006/docPropsVTypes"/>
</file>